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2F7BD04" w14:textId="1D5C6AD6" w:rsidR="00140804" w:rsidRPr="006E32C1" w:rsidRDefault="00B52C67" w:rsidP="00B52C67">
      <w:pPr>
        <w:pStyle w:val="Heading1"/>
        <w:spacing w:before="120" w:after="240"/>
        <w:jc w:val="center"/>
        <w:rPr>
          <w:rFonts w:ascii="Arial" w:hAnsi="Arial" w:cs="Arial"/>
          <w:b/>
          <w:color w:val="auto"/>
          <w:lang w:val="en-US"/>
        </w:rPr>
      </w:pPr>
      <w:bookmarkStart w:id="0" w:name="_Toc130808452"/>
      <w:bookmarkStart w:id="1" w:name="_Toc104362109"/>
      <w:bookmarkStart w:id="2" w:name="_Toc134525194"/>
      <w:r w:rsidRPr="006E32C1">
        <w:rPr>
          <w:rFonts w:ascii="Arial" w:hAnsi="Arial" w:cs="Arial"/>
          <w:b/>
          <w:color w:val="auto"/>
          <w:lang w:val="en-US"/>
        </w:rPr>
        <w:t xml:space="preserve">Uganda </w:t>
      </w:r>
      <w:bookmarkEnd w:id="0"/>
      <w:bookmarkEnd w:id="1"/>
      <w:bookmarkEnd w:id="2"/>
      <w:r w:rsidR="004C765E">
        <w:rPr>
          <w:rFonts w:ascii="Arial" w:hAnsi="Arial" w:cs="Arial"/>
          <w:b/>
          <w:color w:val="auto"/>
          <w:lang w:val="en-US"/>
        </w:rPr>
        <w:t xml:space="preserve">Risk Management Guidelines </w:t>
      </w:r>
      <w:r w:rsidR="00AD3157">
        <w:rPr>
          <w:rFonts w:ascii="Arial" w:hAnsi="Arial" w:cs="Arial"/>
          <w:b/>
          <w:color w:val="auto"/>
          <w:lang w:val="en-US"/>
        </w:rPr>
        <w:t xml:space="preserve">Dec 2024 </w:t>
      </w:r>
      <w:r w:rsidR="004C765E">
        <w:rPr>
          <w:rFonts w:ascii="Arial" w:hAnsi="Arial" w:cs="Arial"/>
          <w:b/>
          <w:color w:val="auto"/>
          <w:lang w:val="en-US"/>
        </w:rPr>
        <w:t>– Pillar 3 disclosure</w:t>
      </w:r>
    </w:p>
    <w:p w14:paraId="351B1A0C" w14:textId="41F2D365" w:rsidR="00AD2AD8" w:rsidRPr="006E32C1" w:rsidRDefault="00B52C67" w:rsidP="00FF60B2">
      <w:pPr>
        <w:pStyle w:val="Heading2"/>
        <w:numPr>
          <w:ilvl w:val="1"/>
          <w:numId w:val="1"/>
        </w:numPr>
        <w:ind w:left="540" w:hanging="540"/>
        <w:rPr>
          <w:rFonts w:ascii="Arial" w:hAnsi="Arial" w:cs="Arial"/>
          <w:b/>
          <w:bCs/>
          <w:color w:val="auto"/>
          <w:sz w:val="24"/>
          <w:szCs w:val="24"/>
          <w:lang w:val="en-US"/>
        </w:rPr>
      </w:pPr>
      <w:r w:rsidRPr="006E32C1">
        <w:rPr>
          <w:rFonts w:ascii="Arial" w:hAnsi="Arial" w:cs="Arial"/>
          <w:b/>
          <w:bCs/>
          <w:color w:val="auto"/>
          <w:sz w:val="24"/>
          <w:szCs w:val="24"/>
          <w:lang w:val="en-US"/>
        </w:rPr>
        <w:t>Introduction</w:t>
      </w:r>
    </w:p>
    <w:p w14:paraId="43824C4A" w14:textId="77777777" w:rsidR="00AC7309" w:rsidRDefault="00627581" w:rsidP="002C09A2">
      <w:pPr>
        <w:rPr>
          <w:rFonts w:ascii="Arial" w:eastAsia="Arial" w:hAnsi="Arial" w:cs="Arial"/>
          <w:color w:val="000000" w:themeColor="text1"/>
          <w:sz w:val="20"/>
          <w:szCs w:val="20"/>
          <w:lang w:val="en-US" w:eastAsia="en-US"/>
        </w:rPr>
      </w:pPr>
      <w:r w:rsidRPr="006E32C1">
        <w:rPr>
          <w:rFonts w:ascii="Arial" w:eastAsia="Arial" w:hAnsi="Arial" w:cs="Arial"/>
          <w:color w:val="000000" w:themeColor="text1"/>
          <w:sz w:val="20"/>
          <w:szCs w:val="20"/>
          <w:lang w:val="en-US" w:eastAsia="en-US"/>
        </w:rPr>
        <w:t xml:space="preserve">The disclosure is made </w:t>
      </w:r>
      <w:r w:rsidR="00F43DB2">
        <w:rPr>
          <w:rFonts w:ascii="Arial" w:eastAsia="Arial" w:hAnsi="Arial" w:cs="Arial"/>
          <w:color w:val="000000" w:themeColor="text1"/>
          <w:sz w:val="20"/>
          <w:szCs w:val="20"/>
          <w:lang w:val="en-US" w:eastAsia="en-US"/>
        </w:rPr>
        <w:t xml:space="preserve">based </w:t>
      </w:r>
      <w:r w:rsidRPr="006E32C1">
        <w:rPr>
          <w:rFonts w:ascii="Arial" w:eastAsia="Arial" w:hAnsi="Arial" w:cs="Arial"/>
          <w:color w:val="000000" w:themeColor="text1"/>
          <w:sz w:val="20"/>
          <w:szCs w:val="20"/>
          <w:lang w:val="en-US" w:eastAsia="en-US"/>
        </w:rPr>
        <w:t xml:space="preserve">on the requirement </w:t>
      </w:r>
      <w:r w:rsidR="006E32C1" w:rsidRPr="006E32C1">
        <w:rPr>
          <w:rFonts w:ascii="Arial" w:eastAsia="Arial" w:hAnsi="Arial" w:cs="Arial"/>
          <w:color w:val="000000" w:themeColor="text1"/>
          <w:sz w:val="20"/>
          <w:szCs w:val="20"/>
          <w:lang w:val="en-US" w:eastAsia="en-US"/>
        </w:rPr>
        <w:t>noted</w:t>
      </w:r>
      <w:r w:rsidRPr="006E32C1">
        <w:rPr>
          <w:rFonts w:ascii="Arial" w:eastAsia="Arial" w:hAnsi="Arial" w:cs="Arial"/>
          <w:color w:val="000000" w:themeColor="text1"/>
          <w:sz w:val="20"/>
          <w:szCs w:val="20"/>
          <w:lang w:val="en-US" w:eastAsia="en-US"/>
        </w:rPr>
        <w:t xml:space="preserve"> </w:t>
      </w:r>
      <w:r w:rsidR="006E32C1" w:rsidRPr="006E32C1">
        <w:rPr>
          <w:rFonts w:ascii="Arial" w:eastAsia="Arial" w:hAnsi="Arial" w:cs="Arial"/>
          <w:color w:val="000000" w:themeColor="text1"/>
          <w:sz w:val="20"/>
          <w:szCs w:val="20"/>
          <w:lang w:val="en-US" w:eastAsia="en-US"/>
        </w:rPr>
        <w:t>i</w:t>
      </w:r>
      <w:r w:rsidRPr="006E32C1">
        <w:rPr>
          <w:rFonts w:ascii="Arial" w:eastAsia="Arial" w:hAnsi="Arial" w:cs="Arial"/>
          <w:color w:val="000000" w:themeColor="text1"/>
          <w:sz w:val="20"/>
          <w:szCs w:val="20"/>
          <w:lang w:val="en-US" w:eastAsia="en-US"/>
        </w:rPr>
        <w:t xml:space="preserve">n the Uganda </w:t>
      </w:r>
      <w:r w:rsidR="004C765E">
        <w:rPr>
          <w:rFonts w:ascii="Arial" w:eastAsia="Arial" w:hAnsi="Arial" w:cs="Arial"/>
          <w:color w:val="000000" w:themeColor="text1"/>
          <w:sz w:val="20"/>
          <w:szCs w:val="20"/>
          <w:lang w:val="en-US" w:eastAsia="en-US"/>
        </w:rPr>
        <w:t>Pillar 3</w:t>
      </w:r>
      <w:r w:rsidR="007C2AA2">
        <w:rPr>
          <w:rFonts w:ascii="Arial" w:eastAsia="Arial" w:hAnsi="Arial" w:cs="Arial"/>
          <w:color w:val="000000" w:themeColor="text1"/>
          <w:sz w:val="20"/>
          <w:szCs w:val="20"/>
          <w:lang w:val="en-US" w:eastAsia="en-US"/>
        </w:rPr>
        <w:t xml:space="preserve"> Disclosure</w:t>
      </w:r>
      <w:r w:rsidRPr="006E32C1">
        <w:rPr>
          <w:rFonts w:ascii="Arial" w:eastAsia="Arial" w:hAnsi="Arial" w:cs="Arial"/>
          <w:color w:val="000000" w:themeColor="text1"/>
          <w:sz w:val="20"/>
          <w:szCs w:val="20"/>
          <w:lang w:val="en-US" w:eastAsia="en-US"/>
        </w:rPr>
        <w:t xml:space="preserve"> Guide</w:t>
      </w:r>
      <w:r w:rsidR="006E32C1" w:rsidRPr="006E32C1">
        <w:rPr>
          <w:rFonts w:ascii="Arial" w:eastAsia="Arial" w:hAnsi="Arial" w:cs="Arial"/>
          <w:color w:val="000000" w:themeColor="text1"/>
          <w:sz w:val="20"/>
          <w:szCs w:val="20"/>
          <w:lang w:val="en-US" w:eastAsia="en-US"/>
        </w:rPr>
        <w:t>l</w:t>
      </w:r>
      <w:r w:rsidRPr="006E32C1">
        <w:rPr>
          <w:rFonts w:ascii="Arial" w:eastAsia="Arial" w:hAnsi="Arial" w:cs="Arial"/>
          <w:color w:val="000000" w:themeColor="text1"/>
          <w:sz w:val="20"/>
          <w:szCs w:val="20"/>
          <w:lang w:val="en-US" w:eastAsia="en-US"/>
        </w:rPr>
        <w:t xml:space="preserve">ines </w:t>
      </w:r>
      <w:r w:rsidR="007C2AA2">
        <w:rPr>
          <w:rFonts w:ascii="Arial" w:eastAsia="Arial" w:hAnsi="Arial" w:cs="Arial"/>
          <w:color w:val="000000" w:themeColor="text1"/>
          <w:sz w:val="20"/>
          <w:szCs w:val="20"/>
          <w:lang w:val="en-US" w:eastAsia="en-US"/>
        </w:rPr>
        <w:t>which</w:t>
      </w:r>
      <w:r w:rsidRPr="006E32C1">
        <w:rPr>
          <w:rFonts w:ascii="Arial" w:eastAsia="Arial" w:hAnsi="Arial" w:cs="Arial"/>
          <w:color w:val="000000" w:themeColor="text1"/>
          <w:sz w:val="20"/>
          <w:szCs w:val="20"/>
          <w:lang w:val="en-US" w:eastAsia="en-US"/>
        </w:rPr>
        <w:t xml:space="preserve"> states “</w:t>
      </w:r>
      <w:r w:rsidR="002C09A2" w:rsidRPr="006E32C1">
        <w:rPr>
          <w:rFonts w:ascii="Arial" w:eastAsia="Arial" w:hAnsi="Arial" w:cs="Arial"/>
          <w:color w:val="000000" w:themeColor="text1"/>
          <w:sz w:val="20"/>
          <w:szCs w:val="20"/>
          <w:lang w:val="en-US" w:eastAsia="en-US"/>
        </w:rPr>
        <w:t>SFI shall disclose their risk profile, specific exposures, and risk mitigation measures in an aggregate fashion and without breaching any confidentiality.</w:t>
      </w:r>
      <w:r w:rsidRPr="006E32C1">
        <w:rPr>
          <w:rFonts w:ascii="Arial" w:eastAsia="Arial" w:hAnsi="Arial" w:cs="Arial"/>
          <w:color w:val="000000" w:themeColor="text1"/>
          <w:sz w:val="20"/>
          <w:szCs w:val="20"/>
          <w:lang w:val="en-US" w:eastAsia="en-US"/>
        </w:rPr>
        <w:t>”</w:t>
      </w:r>
    </w:p>
    <w:p w14:paraId="69191A2E" w14:textId="78B596E9" w:rsidR="002C09A2" w:rsidRPr="006E32C1" w:rsidRDefault="002C09A2" w:rsidP="002C09A2">
      <w:pPr>
        <w:rPr>
          <w:rFonts w:ascii="Arial" w:eastAsia="Arial" w:hAnsi="Arial" w:cs="Arial"/>
          <w:color w:val="000000" w:themeColor="text1"/>
          <w:sz w:val="20"/>
          <w:szCs w:val="20"/>
          <w:lang w:val="en-US" w:eastAsia="en-US"/>
        </w:rPr>
      </w:pPr>
    </w:p>
    <w:p w14:paraId="32B5BA0B" w14:textId="0302E1ED" w:rsidR="00FB5328" w:rsidRPr="006E32C1" w:rsidRDefault="006954F0" w:rsidP="00BC5786">
      <w:pPr>
        <w:rPr>
          <w:rFonts w:ascii="Arial" w:eastAsia="Arial" w:hAnsi="Arial" w:cs="Arial"/>
          <w:color w:val="000000" w:themeColor="text1"/>
          <w:sz w:val="20"/>
          <w:szCs w:val="20"/>
          <w:lang w:val="en-US" w:eastAsia="en-US"/>
        </w:rPr>
      </w:pPr>
      <w:r w:rsidRPr="006E32C1">
        <w:rPr>
          <w:rFonts w:ascii="Arial" w:eastAsia="Arial" w:hAnsi="Arial" w:cs="Arial"/>
          <w:color w:val="000000" w:themeColor="text1"/>
          <w:sz w:val="20"/>
          <w:szCs w:val="20"/>
          <w:lang w:val="en-US" w:eastAsia="en-US"/>
        </w:rPr>
        <w:t xml:space="preserve">The </w:t>
      </w:r>
      <w:r w:rsidR="005B61B0" w:rsidRPr="006E32C1">
        <w:rPr>
          <w:rFonts w:ascii="Arial" w:hAnsi="Arial" w:cs="Arial"/>
          <w:color w:val="000000" w:themeColor="text1"/>
          <w:sz w:val="20"/>
          <w:szCs w:val="20"/>
          <w:lang w:val="en-US"/>
        </w:rPr>
        <w:t>Citibank Uganda Limited</w:t>
      </w:r>
      <w:r w:rsidR="00F43DB2">
        <w:rPr>
          <w:rFonts w:ascii="Arial" w:hAnsi="Arial" w:cs="Arial"/>
          <w:color w:val="000000" w:themeColor="text1"/>
          <w:sz w:val="20"/>
          <w:szCs w:val="20"/>
          <w:lang w:val="en-US"/>
        </w:rPr>
        <w:t xml:space="preserve"> utilizes a Risk Management Framework</w:t>
      </w:r>
      <w:r w:rsidRPr="006E32C1">
        <w:rPr>
          <w:rFonts w:ascii="Arial" w:eastAsia="Arial" w:hAnsi="Arial" w:cs="Arial"/>
          <w:color w:val="000000" w:themeColor="text1"/>
          <w:sz w:val="20"/>
          <w:szCs w:val="20"/>
          <w:lang w:val="en-US" w:eastAsia="en-US"/>
        </w:rPr>
        <w:t xml:space="preserve"> </w:t>
      </w:r>
      <w:r w:rsidR="00F43DB2">
        <w:rPr>
          <w:rFonts w:ascii="Arial" w:eastAsia="Arial" w:hAnsi="Arial" w:cs="Arial"/>
          <w:color w:val="000000" w:themeColor="text1"/>
          <w:sz w:val="20"/>
          <w:szCs w:val="20"/>
          <w:lang w:val="en-US" w:eastAsia="en-US"/>
        </w:rPr>
        <w:t>(</w:t>
      </w:r>
      <w:r w:rsidRPr="006E32C1">
        <w:rPr>
          <w:rFonts w:ascii="Arial" w:eastAsia="Arial" w:hAnsi="Arial" w:cs="Arial"/>
          <w:color w:val="000000" w:themeColor="text1"/>
          <w:sz w:val="20"/>
          <w:szCs w:val="20"/>
          <w:lang w:val="en-US" w:eastAsia="en-US"/>
        </w:rPr>
        <w:t>RMF</w:t>
      </w:r>
      <w:r w:rsidR="00F43DB2">
        <w:rPr>
          <w:rFonts w:ascii="Arial" w:eastAsia="Arial" w:hAnsi="Arial" w:cs="Arial"/>
          <w:color w:val="000000" w:themeColor="text1"/>
          <w:sz w:val="20"/>
          <w:szCs w:val="20"/>
          <w:lang w:val="en-US" w:eastAsia="en-US"/>
        </w:rPr>
        <w:t>) that</w:t>
      </w:r>
      <w:r w:rsidRPr="006E32C1">
        <w:rPr>
          <w:rFonts w:ascii="Arial" w:eastAsia="Arial" w:hAnsi="Arial" w:cs="Arial"/>
          <w:color w:val="000000" w:themeColor="text1"/>
          <w:sz w:val="20"/>
          <w:szCs w:val="20"/>
          <w:lang w:val="en-US" w:eastAsia="en-US"/>
        </w:rPr>
        <w:t xml:space="preserve"> is aligned to the Enterprise Risk Management Framework </w:t>
      </w:r>
      <w:r w:rsidR="007A5BB8" w:rsidRPr="006E32C1">
        <w:rPr>
          <w:rFonts w:ascii="Arial" w:eastAsia="Arial" w:hAnsi="Arial" w:cs="Arial"/>
          <w:color w:val="000000" w:themeColor="text1"/>
          <w:sz w:val="20"/>
          <w:szCs w:val="20"/>
          <w:lang w:val="en-US" w:eastAsia="en-US"/>
        </w:rPr>
        <w:t xml:space="preserve">(“ERMF”) </w:t>
      </w:r>
      <w:r w:rsidRPr="006E32C1">
        <w:rPr>
          <w:rFonts w:ascii="Arial" w:eastAsia="Arial" w:hAnsi="Arial" w:cs="Arial"/>
          <w:color w:val="000000" w:themeColor="text1"/>
          <w:sz w:val="20"/>
          <w:szCs w:val="20"/>
          <w:lang w:val="en-US" w:eastAsia="en-US"/>
        </w:rPr>
        <w:t xml:space="preserve">and documents the Risk Management approach used to ensure robust management of the material risks facing </w:t>
      </w:r>
      <w:r w:rsidR="005B61B0" w:rsidRPr="006E32C1">
        <w:rPr>
          <w:rFonts w:ascii="Arial" w:eastAsia="Arial" w:hAnsi="Arial" w:cs="Arial"/>
          <w:color w:val="000000" w:themeColor="text1"/>
          <w:sz w:val="20"/>
          <w:szCs w:val="20"/>
          <w:lang w:val="en-US" w:eastAsia="en-US"/>
        </w:rPr>
        <w:t>Citibank Uganda Limited</w:t>
      </w:r>
      <w:r w:rsidRPr="006E32C1">
        <w:rPr>
          <w:rFonts w:ascii="Arial" w:eastAsia="Arial" w:hAnsi="Arial" w:cs="Arial"/>
          <w:color w:val="000000" w:themeColor="text1"/>
          <w:sz w:val="20"/>
          <w:szCs w:val="20"/>
          <w:lang w:val="en-US" w:eastAsia="en-US"/>
        </w:rPr>
        <w:t xml:space="preserve">. </w:t>
      </w:r>
      <w:r w:rsidR="00FB5328" w:rsidRPr="006E32C1">
        <w:rPr>
          <w:rFonts w:ascii="Arial" w:eastAsia="Arial" w:hAnsi="Arial" w:cs="Arial"/>
          <w:color w:val="000000" w:themeColor="text1"/>
          <w:sz w:val="20"/>
          <w:szCs w:val="20"/>
          <w:lang w:val="en-US" w:eastAsia="en-US"/>
        </w:rPr>
        <w:t xml:space="preserve">The ERMF has been established to ensure that all of Citi’s risks are managed appropriately and consistently across the Group and at an aggregate, enterprise-level. The </w:t>
      </w:r>
      <w:r w:rsidR="008B145A" w:rsidRPr="006E32C1">
        <w:rPr>
          <w:rFonts w:ascii="Arial" w:eastAsia="Arial" w:hAnsi="Arial" w:cs="Arial"/>
          <w:color w:val="000000" w:themeColor="text1"/>
          <w:sz w:val="20"/>
          <w:szCs w:val="20"/>
          <w:lang w:val="en-US" w:eastAsia="en-US"/>
        </w:rPr>
        <w:t>ERMF</w:t>
      </w:r>
      <w:r w:rsidR="00FB5328" w:rsidRPr="006E32C1">
        <w:rPr>
          <w:rFonts w:ascii="Arial" w:eastAsia="Arial" w:hAnsi="Arial" w:cs="Arial"/>
          <w:color w:val="000000" w:themeColor="text1"/>
          <w:sz w:val="20"/>
          <w:szCs w:val="20"/>
          <w:lang w:val="en-US" w:eastAsia="en-US"/>
        </w:rPr>
        <w:t xml:space="preserve"> details the principles used to support effective enterprise-wide risk management across end-to-end risk management lifecycle and comprises</w:t>
      </w:r>
      <w:r w:rsidR="007D4588" w:rsidRPr="006E32C1">
        <w:rPr>
          <w:rFonts w:ascii="Arial" w:eastAsia="Arial" w:hAnsi="Arial" w:cs="Arial"/>
          <w:color w:val="000000" w:themeColor="text1"/>
          <w:sz w:val="20"/>
          <w:szCs w:val="20"/>
          <w:lang w:val="en-US" w:eastAsia="en-US"/>
        </w:rPr>
        <w:t xml:space="preserve"> of</w:t>
      </w:r>
      <w:r w:rsidR="00FB5328" w:rsidRPr="006E32C1">
        <w:rPr>
          <w:rFonts w:ascii="Arial" w:eastAsia="Arial" w:hAnsi="Arial" w:cs="Arial"/>
          <w:color w:val="000000" w:themeColor="text1"/>
          <w:sz w:val="20"/>
          <w:szCs w:val="20"/>
          <w:lang w:val="en-US" w:eastAsia="en-US"/>
        </w:rPr>
        <w:t xml:space="preserve"> </w:t>
      </w:r>
      <w:r w:rsidR="00A262D2" w:rsidRPr="006E32C1">
        <w:rPr>
          <w:rFonts w:ascii="Arial" w:eastAsia="Arial" w:hAnsi="Arial" w:cs="Arial"/>
          <w:color w:val="000000" w:themeColor="text1"/>
          <w:sz w:val="20"/>
          <w:szCs w:val="20"/>
          <w:lang w:val="en-US" w:eastAsia="en-US"/>
        </w:rPr>
        <w:t>four</w:t>
      </w:r>
      <w:r w:rsidR="00FB5328" w:rsidRPr="006E32C1">
        <w:rPr>
          <w:rFonts w:ascii="Arial" w:eastAsia="Arial" w:hAnsi="Arial" w:cs="Arial"/>
          <w:color w:val="000000" w:themeColor="text1"/>
          <w:sz w:val="20"/>
          <w:szCs w:val="20"/>
          <w:lang w:val="en-US" w:eastAsia="en-US"/>
        </w:rPr>
        <w:t xml:space="preserve"> component pillars</w:t>
      </w:r>
      <w:r w:rsidR="00584D88" w:rsidRPr="006E32C1">
        <w:rPr>
          <w:rFonts w:ascii="Arial" w:eastAsia="Arial" w:hAnsi="Arial" w:cs="Arial"/>
          <w:color w:val="000000" w:themeColor="text1"/>
          <w:sz w:val="20"/>
          <w:szCs w:val="20"/>
          <w:lang w:val="en-US" w:eastAsia="en-US"/>
        </w:rPr>
        <w:t>:</w:t>
      </w:r>
      <w:r w:rsidR="00FB5328" w:rsidRPr="006E32C1">
        <w:rPr>
          <w:rFonts w:ascii="Arial" w:eastAsia="Arial" w:hAnsi="Arial" w:cs="Arial"/>
          <w:color w:val="000000" w:themeColor="text1"/>
          <w:sz w:val="20"/>
          <w:szCs w:val="20"/>
          <w:lang w:val="en-US" w:eastAsia="en-US"/>
        </w:rPr>
        <w:t xml:space="preserve"> Culture,</w:t>
      </w:r>
      <w:r w:rsidR="00E04972" w:rsidRPr="006E32C1">
        <w:rPr>
          <w:rFonts w:ascii="Arial" w:eastAsia="Arial" w:hAnsi="Arial" w:cs="Arial"/>
          <w:color w:val="000000" w:themeColor="text1"/>
          <w:sz w:val="20"/>
          <w:szCs w:val="20"/>
          <w:lang w:val="en-US" w:eastAsia="en-US"/>
        </w:rPr>
        <w:t xml:space="preserve"> </w:t>
      </w:r>
      <w:r w:rsidR="00FB5328" w:rsidRPr="006E32C1">
        <w:rPr>
          <w:rFonts w:ascii="Arial" w:eastAsia="Arial" w:hAnsi="Arial" w:cs="Arial"/>
          <w:color w:val="000000" w:themeColor="text1"/>
          <w:sz w:val="20"/>
          <w:szCs w:val="20"/>
          <w:lang w:val="en-US" w:eastAsia="en-US"/>
        </w:rPr>
        <w:t>Governance,</w:t>
      </w:r>
      <w:r w:rsidR="00E04972" w:rsidRPr="006E32C1">
        <w:rPr>
          <w:rFonts w:ascii="Arial" w:eastAsia="Arial" w:hAnsi="Arial" w:cs="Arial"/>
          <w:color w:val="000000" w:themeColor="text1"/>
          <w:sz w:val="20"/>
          <w:szCs w:val="20"/>
          <w:lang w:val="en-US" w:eastAsia="en-US"/>
        </w:rPr>
        <w:t xml:space="preserve"> </w:t>
      </w:r>
      <w:r w:rsidR="00FB5328" w:rsidRPr="006E32C1">
        <w:rPr>
          <w:rFonts w:ascii="Arial" w:eastAsia="Arial" w:hAnsi="Arial" w:cs="Arial"/>
          <w:color w:val="000000" w:themeColor="text1"/>
          <w:sz w:val="20"/>
          <w:szCs w:val="20"/>
          <w:lang w:val="en-US" w:eastAsia="en-US"/>
        </w:rPr>
        <w:t xml:space="preserve">Risk Management and Enterprise Programs. Further details can be found in the </w:t>
      </w:r>
      <w:r w:rsidR="00BF66DD" w:rsidRPr="006E32C1">
        <w:rPr>
          <w:rFonts w:ascii="Arial" w:eastAsia="Arial" w:hAnsi="Arial" w:cs="Arial"/>
          <w:color w:val="000000" w:themeColor="text1"/>
          <w:sz w:val="20"/>
          <w:szCs w:val="20"/>
          <w:lang w:val="en-US" w:eastAsia="en-US"/>
        </w:rPr>
        <w:t>ERMF</w:t>
      </w:r>
      <w:r w:rsidR="00FB5328" w:rsidRPr="006E32C1">
        <w:rPr>
          <w:rFonts w:ascii="Arial" w:eastAsia="Arial" w:hAnsi="Arial" w:cs="Arial"/>
          <w:color w:val="000000" w:themeColor="text1"/>
          <w:sz w:val="20"/>
          <w:szCs w:val="20"/>
          <w:lang w:val="en-US" w:eastAsia="en-US"/>
        </w:rPr>
        <w:t>.</w:t>
      </w:r>
    </w:p>
    <w:p w14:paraId="53E237BA" w14:textId="2DF7BCE5" w:rsidR="00F22A3C" w:rsidRPr="006E32C1" w:rsidRDefault="00F22A3C" w:rsidP="00BC5786">
      <w:pPr>
        <w:rPr>
          <w:rFonts w:ascii="Arial" w:eastAsia="Arial" w:hAnsi="Arial" w:cs="Arial"/>
          <w:color w:val="000000" w:themeColor="text1"/>
          <w:sz w:val="20"/>
          <w:szCs w:val="20"/>
          <w:lang w:val="en-US" w:eastAsia="en-US"/>
        </w:rPr>
      </w:pPr>
      <w:r w:rsidRPr="006E32C1">
        <w:rPr>
          <w:rFonts w:ascii="Arial" w:eastAsia="Arial" w:hAnsi="Arial" w:cs="Arial"/>
          <w:color w:val="000000" w:themeColor="text1"/>
          <w:sz w:val="20"/>
          <w:szCs w:val="20"/>
          <w:lang w:val="en-US" w:eastAsia="en-US"/>
        </w:rPr>
        <w:t xml:space="preserve">The </w:t>
      </w:r>
      <w:r w:rsidR="005B61B0" w:rsidRPr="006E32C1">
        <w:rPr>
          <w:rFonts w:ascii="Arial" w:eastAsia="Arial" w:hAnsi="Arial" w:cs="Arial"/>
          <w:color w:val="000000" w:themeColor="text1"/>
          <w:sz w:val="20"/>
          <w:szCs w:val="20"/>
          <w:lang w:val="en-US" w:eastAsia="en-US"/>
        </w:rPr>
        <w:t>Citibank Uganda Limited</w:t>
      </w:r>
      <w:r w:rsidR="00476E4F" w:rsidRPr="006E32C1">
        <w:rPr>
          <w:rFonts w:ascii="Arial" w:eastAsia="Arial" w:hAnsi="Arial" w:cs="Arial"/>
          <w:color w:val="000000" w:themeColor="text1"/>
          <w:sz w:val="20"/>
          <w:szCs w:val="20"/>
          <w:lang w:val="en-US" w:eastAsia="en-US"/>
        </w:rPr>
        <w:t xml:space="preserve"> </w:t>
      </w:r>
      <w:r w:rsidR="006A067D" w:rsidRPr="006E32C1">
        <w:rPr>
          <w:rFonts w:ascii="Arial" w:eastAsia="Arial" w:hAnsi="Arial" w:cs="Arial"/>
          <w:color w:val="000000" w:themeColor="text1"/>
          <w:sz w:val="20"/>
          <w:szCs w:val="20"/>
          <w:lang w:val="en-US" w:eastAsia="en-US"/>
        </w:rPr>
        <w:t>RMF</w:t>
      </w:r>
      <w:r w:rsidRPr="006E32C1">
        <w:rPr>
          <w:rFonts w:ascii="Arial" w:eastAsia="Arial" w:hAnsi="Arial" w:cs="Arial"/>
          <w:color w:val="000000" w:themeColor="text1"/>
          <w:sz w:val="20"/>
          <w:szCs w:val="20"/>
          <w:lang w:val="en-US" w:eastAsia="en-US"/>
        </w:rPr>
        <w:t xml:space="preserve"> is</w:t>
      </w:r>
      <w:r w:rsidR="00DF499B" w:rsidRPr="006E32C1">
        <w:rPr>
          <w:rFonts w:ascii="Arial" w:eastAsia="Arial" w:hAnsi="Arial" w:cs="Arial"/>
          <w:color w:val="000000" w:themeColor="text1"/>
          <w:sz w:val="20"/>
          <w:szCs w:val="20"/>
          <w:lang w:val="en-US" w:eastAsia="en-US"/>
        </w:rPr>
        <w:t xml:space="preserve"> designed to align with the ERMF</w:t>
      </w:r>
      <w:r w:rsidRPr="006E32C1">
        <w:rPr>
          <w:rFonts w:ascii="Arial" w:eastAsia="Arial" w:hAnsi="Arial" w:cs="Arial"/>
          <w:color w:val="000000" w:themeColor="text1"/>
          <w:sz w:val="20"/>
          <w:szCs w:val="20"/>
          <w:lang w:val="en-US" w:eastAsia="en-US"/>
        </w:rPr>
        <w:t xml:space="preserve"> and, in its implementation, leverages and applies Citi</w:t>
      </w:r>
      <w:r w:rsidR="00640F59" w:rsidRPr="006E32C1">
        <w:rPr>
          <w:rFonts w:ascii="Arial" w:eastAsia="Arial" w:hAnsi="Arial" w:cs="Arial"/>
          <w:color w:val="000000" w:themeColor="text1"/>
          <w:sz w:val="20"/>
          <w:szCs w:val="20"/>
          <w:lang w:val="en-US" w:eastAsia="en-US"/>
        </w:rPr>
        <w:t>’s applicable</w:t>
      </w:r>
      <w:r w:rsidRPr="006E32C1">
        <w:rPr>
          <w:rFonts w:ascii="Arial" w:eastAsia="Arial" w:hAnsi="Arial" w:cs="Arial"/>
          <w:color w:val="000000" w:themeColor="text1"/>
          <w:sz w:val="20"/>
          <w:szCs w:val="20"/>
          <w:lang w:val="en-US" w:eastAsia="en-US"/>
        </w:rPr>
        <w:t xml:space="preserve"> frameworks, policies, standards, procedures and processes for</w:t>
      </w:r>
      <w:r w:rsidR="00A43398" w:rsidRPr="006E32C1">
        <w:rPr>
          <w:rFonts w:ascii="Arial" w:eastAsia="Arial" w:hAnsi="Arial" w:cs="Arial"/>
          <w:color w:val="000000" w:themeColor="text1"/>
          <w:sz w:val="20"/>
          <w:szCs w:val="20"/>
          <w:lang w:val="en-US" w:eastAsia="en-US"/>
        </w:rPr>
        <w:t xml:space="preserve"> </w:t>
      </w:r>
      <w:r w:rsidRPr="006E32C1">
        <w:rPr>
          <w:rFonts w:ascii="Arial" w:eastAsia="Arial" w:hAnsi="Arial" w:cs="Arial"/>
          <w:color w:val="000000" w:themeColor="text1"/>
          <w:sz w:val="20"/>
          <w:szCs w:val="20"/>
          <w:lang w:val="en-US" w:eastAsia="en-US"/>
        </w:rPr>
        <w:t>risk management</w:t>
      </w:r>
      <w:r w:rsidR="000A1DC0" w:rsidRPr="006E32C1">
        <w:rPr>
          <w:rFonts w:ascii="Arial" w:eastAsia="Arial" w:hAnsi="Arial" w:cs="Arial"/>
          <w:color w:val="000000" w:themeColor="text1"/>
          <w:sz w:val="20"/>
          <w:szCs w:val="20"/>
          <w:lang w:val="en-US" w:eastAsia="en-US"/>
        </w:rPr>
        <w:t xml:space="preserve"> within the </w:t>
      </w:r>
      <w:r w:rsidR="005B0166" w:rsidRPr="006E32C1">
        <w:rPr>
          <w:rFonts w:ascii="Arial" w:eastAsia="Arial" w:hAnsi="Arial" w:cs="Arial"/>
          <w:color w:val="000000" w:themeColor="text1"/>
          <w:sz w:val="20"/>
          <w:szCs w:val="20"/>
          <w:lang w:val="en-US" w:eastAsia="en-US"/>
        </w:rPr>
        <w:t>L</w:t>
      </w:r>
      <w:r w:rsidR="000A1DC0" w:rsidRPr="006E32C1">
        <w:rPr>
          <w:rFonts w:ascii="Arial" w:eastAsia="Arial" w:hAnsi="Arial" w:cs="Arial"/>
          <w:color w:val="000000" w:themeColor="text1"/>
          <w:sz w:val="20"/>
          <w:szCs w:val="20"/>
          <w:lang w:val="en-US" w:eastAsia="en-US"/>
        </w:rPr>
        <w:t xml:space="preserve">egal </w:t>
      </w:r>
      <w:r w:rsidR="005B0166" w:rsidRPr="006E32C1">
        <w:rPr>
          <w:rFonts w:ascii="Arial" w:eastAsia="Arial" w:hAnsi="Arial" w:cs="Arial"/>
          <w:color w:val="000000" w:themeColor="text1"/>
          <w:sz w:val="20"/>
          <w:szCs w:val="20"/>
          <w:lang w:val="en-US" w:eastAsia="en-US"/>
        </w:rPr>
        <w:t>E</w:t>
      </w:r>
      <w:r w:rsidR="000A1DC0" w:rsidRPr="006E32C1">
        <w:rPr>
          <w:rFonts w:ascii="Arial" w:eastAsia="Arial" w:hAnsi="Arial" w:cs="Arial"/>
          <w:color w:val="000000" w:themeColor="text1"/>
          <w:sz w:val="20"/>
          <w:szCs w:val="20"/>
          <w:lang w:val="en-US" w:eastAsia="en-US"/>
        </w:rPr>
        <w:t>ntity</w:t>
      </w:r>
      <w:r w:rsidR="00322408" w:rsidRPr="006E32C1">
        <w:rPr>
          <w:rFonts w:ascii="Arial" w:eastAsia="Arial" w:hAnsi="Arial" w:cs="Arial"/>
          <w:color w:val="000000" w:themeColor="text1"/>
          <w:sz w:val="20"/>
          <w:szCs w:val="20"/>
          <w:lang w:val="en-US" w:eastAsia="en-US"/>
        </w:rPr>
        <w:t xml:space="preserve"> (“LE”)</w:t>
      </w:r>
      <w:r w:rsidRPr="006E32C1">
        <w:rPr>
          <w:rFonts w:ascii="Arial" w:eastAsia="Arial" w:hAnsi="Arial" w:cs="Arial"/>
          <w:color w:val="000000" w:themeColor="text1"/>
          <w:sz w:val="20"/>
          <w:szCs w:val="20"/>
          <w:lang w:val="en-US" w:eastAsia="en-US"/>
        </w:rPr>
        <w:t xml:space="preserve">. As a result, there </w:t>
      </w:r>
      <w:r w:rsidR="00055E62" w:rsidRPr="006E32C1">
        <w:rPr>
          <w:rFonts w:ascii="Arial" w:eastAsia="Arial" w:hAnsi="Arial" w:cs="Arial"/>
          <w:color w:val="000000" w:themeColor="text1"/>
          <w:sz w:val="20"/>
          <w:szCs w:val="20"/>
          <w:lang w:val="en-US" w:eastAsia="en-US"/>
        </w:rPr>
        <w:t>are</w:t>
      </w:r>
      <w:r w:rsidRPr="006E32C1">
        <w:rPr>
          <w:rFonts w:ascii="Arial" w:eastAsia="Arial" w:hAnsi="Arial" w:cs="Arial"/>
          <w:color w:val="000000" w:themeColor="text1"/>
          <w:sz w:val="20"/>
          <w:szCs w:val="20"/>
          <w:lang w:val="en-US" w:eastAsia="en-US"/>
        </w:rPr>
        <w:t xml:space="preserve"> references to the </w:t>
      </w:r>
      <w:r w:rsidR="00DF499B" w:rsidRPr="006E32C1">
        <w:rPr>
          <w:rFonts w:ascii="Arial" w:eastAsia="Arial" w:hAnsi="Arial" w:cs="Arial"/>
          <w:color w:val="000000" w:themeColor="text1"/>
          <w:sz w:val="20"/>
          <w:szCs w:val="20"/>
          <w:lang w:val="en-US" w:eastAsia="en-US"/>
        </w:rPr>
        <w:t xml:space="preserve">ERMF </w:t>
      </w:r>
      <w:r w:rsidRPr="006E32C1">
        <w:rPr>
          <w:rFonts w:ascii="Arial" w:eastAsia="Arial" w:hAnsi="Arial" w:cs="Arial"/>
          <w:color w:val="000000" w:themeColor="text1"/>
          <w:sz w:val="20"/>
          <w:szCs w:val="20"/>
          <w:lang w:val="en-US" w:eastAsia="en-US"/>
        </w:rPr>
        <w:t>and Citi risk management governance and processes throughout this document, where appropriate.</w:t>
      </w:r>
    </w:p>
    <w:p w14:paraId="4EFC767A" w14:textId="1F42CDDB" w:rsidR="00B31993" w:rsidRPr="006E32C1" w:rsidRDefault="00FB5328" w:rsidP="008231AD">
      <w:pPr>
        <w:rPr>
          <w:rFonts w:ascii="Arial" w:eastAsia="Arial" w:hAnsi="Arial" w:cs="Arial"/>
          <w:color w:val="000000" w:themeColor="text1"/>
          <w:sz w:val="20"/>
          <w:szCs w:val="20"/>
          <w:lang w:val="en-US" w:eastAsia="en-US"/>
        </w:rPr>
      </w:pPr>
      <w:r w:rsidRPr="006E32C1">
        <w:rPr>
          <w:rFonts w:ascii="Arial" w:eastAsia="Arial" w:hAnsi="Arial" w:cs="Arial"/>
          <w:color w:val="000000" w:themeColor="text1"/>
          <w:sz w:val="20"/>
          <w:szCs w:val="20"/>
          <w:lang w:val="en-US" w:eastAsia="en-US"/>
        </w:rPr>
        <w:t>Th</w:t>
      </w:r>
      <w:r w:rsidR="00BF66DD" w:rsidRPr="006E32C1">
        <w:rPr>
          <w:rFonts w:ascii="Arial" w:eastAsia="Arial" w:hAnsi="Arial" w:cs="Arial"/>
          <w:color w:val="000000" w:themeColor="text1"/>
          <w:sz w:val="20"/>
          <w:szCs w:val="20"/>
          <w:lang w:val="en-US" w:eastAsia="en-US"/>
        </w:rPr>
        <w:t>e</w:t>
      </w:r>
      <w:r w:rsidRPr="006E32C1">
        <w:rPr>
          <w:rFonts w:ascii="Arial" w:eastAsia="Arial" w:hAnsi="Arial" w:cs="Arial"/>
          <w:color w:val="000000" w:themeColor="text1"/>
          <w:sz w:val="20"/>
          <w:szCs w:val="20"/>
          <w:lang w:val="en-US" w:eastAsia="en-US"/>
        </w:rPr>
        <w:t xml:space="preserve"> </w:t>
      </w:r>
      <w:r w:rsidR="005B61B0" w:rsidRPr="006E32C1">
        <w:rPr>
          <w:rFonts w:ascii="Arial" w:eastAsia="Arial" w:hAnsi="Arial" w:cs="Arial"/>
          <w:color w:val="000000" w:themeColor="text1"/>
          <w:sz w:val="20"/>
          <w:szCs w:val="20"/>
          <w:lang w:val="en-US" w:eastAsia="en-US"/>
        </w:rPr>
        <w:t>Citibank Uganda Limited</w:t>
      </w:r>
      <w:r w:rsidR="00476E4F" w:rsidRPr="006E32C1">
        <w:rPr>
          <w:rFonts w:ascii="Arial" w:eastAsia="Arial" w:hAnsi="Arial" w:cs="Arial"/>
          <w:color w:val="000000" w:themeColor="text1"/>
          <w:sz w:val="20"/>
          <w:szCs w:val="20"/>
          <w:lang w:val="en-US" w:eastAsia="en-US"/>
        </w:rPr>
        <w:t xml:space="preserve"> </w:t>
      </w:r>
      <w:r w:rsidR="003420CB" w:rsidRPr="006E32C1">
        <w:rPr>
          <w:rFonts w:ascii="Arial" w:eastAsia="Arial" w:hAnsi="Arial" w:cs="Arial"/>
          <w:color w:val="000000" w:themeColor="text1"/>
          <w:sz w:val="20"/>
          <w:szCs w:val="20"/>
          <w:lang w:val="en-US" w:eastAsia="en-US"/>
        </w:rPr>
        <w:t>RMF</w:t>
      </w:r>
      <w:r w:rsidRPr="006E32C1">
        <w:rPr>
          <w:rFonts w:ascii="Arial" w:eastAsia="Arial" w:hAnsi="Arial" w:cs="Arial"/>
          <w:color w:val="000000" w:themeColor="text1"/>
          <w:sz w:val="20"/>
          <w:szCs w:val="20"/>
          <w:lang w:val="en-US" w:eastAsia="en-US"/>
        </w:rPr>
        <w:t xml:space="preserve"> aims to provide a comprehensive overview of how material risks are identified, measured, monitored</w:t>
      </w:r>
      <w:r w:rsidR="00210581" w:rsidRPr="006E32C1">
        <w:rPr>
          <w:rFonts w:ascii="Arial" w:eastAsia="Arial" w:hAnsi="Arial" w:cs="Arial"/>
          <w:color w:val="000000" w:themeColor="text1"/>
          <w:sz w:val="20"/>
          <w:szCs w:val="20"/>
          <w:lang w:val="en-US" w:eastAsia="en-US"/>
        </w:rPr>
        <w:t xml:space="preserve">, </w:t>
      </w:r>
      <w:r w:rsidR="00291D26" w:rsidRPr="006E32C1">
        <w:rPr>
          <w:rFonts w:ascii="Arial" w:eastAsia="Arial" w:hAnsi="Arial" w:cs="Arial"/>
          <w:color w:val="000000" w:themeColor="text1"/>
          <w:sz w:val="20"/>
          <w:szCs w:val="20"/>
          <w:lang w:val="en-US" w:eastAsia="en-US"/>
        </w:rPr>
        <w:t>controlled,</w:t>
      </w:r>
      <w:r w:rsidRPr="006E32C1">
        <w:rPr>
          <w:rFonts w:ascii="Arial" w:eastAsia="Arial" w:hAnsi="Arial" w:cs="Arial"/>
          <w:color w:val="000000" w:themeColor="text1"/>
          <w:sz w:val="20"/>
          <w:szCs w:val="20"/>
          <w:lang w:val="en-US" w:eastAsia="en-US"/>
        </w:rPr>
        <w:t xml:space="preserve"> and reported within </w:t>
      </w:r>
      <w:r w:rsidR="005B61B0" w:rsidRPr="006E32C1">
        <w:rPr>
          <w:rFonts w:ascii="Arial" w:eastAsia="Arial" w:hAnsi="Arial" w:cs="Arial"/>
          <w:color w:val="000000" w:themeColor="text1"/>
          <w:sz w:val="20"/>
          <w:szCs w:val="20"/>
          <w:lang w:val="en-US" w:eastAsia="en-US"/>
        </w:rPr>
        <w:t>Citibank Uganda Limited</w:t>
      </w:r>
      <w:r w:rsidR="00942E45" w:rsidRPr="006E32C1">
        <w:rPr>
          <w:rFonts w:ascii="Arial" w:eastAsia="Arial" w:hAnsi="Arial" w:cs="Arial"/>
          <w:color w:val="000000" w:themeColor="text1"/>
          <w:sz w:val="20"/>
          <w:szCs w:val="20"/>
          <w:lang w:val="en-US" w:eastAsia="en-US"/>
        </w:rPr>
        <w:t xml:space="preserve"> </w:t>
      </w:r>
      <w:r w:rsidRPr="006E32C1">
        <w:rPr>
          <w:rFonts w:ascii="Arial" w:eastAsia="Arial" w:hAnsi="Arial" w:cs="Arial"/>
          <w:color w:val="000000" w:themeColor="text1"/>
          <w:sz w:val="20"/>
          <w:szCs w:val="20"/>
          <w:lang w:val="en-US" w:eastAsia="en-US"/>
        </w:rPr>
        <w:t xml:space="preserve">and where processes are aligned to Citi-wide </w:t>
      </w:r>
      <w:r w:rsidR="00210581" w:rsidRPr="006E32C1">
        <w:rPr>
          <w:rFonts w:ascii="Arial" w:eastAsia="Arial" w:hAnsi="Arial" w:cs="Arial"/>
          <w:color w:val="000000" w:themeColor="text1"/>
          <w:sz w:val="20"/>
          <w:szCs w:val="20"/>
          <w:lang w:val="en-US" w:eastAsia="en-US"/>
        </w:rPr>
        <w:t xml:space="preserve">risk management </w:t>
      </w:r>
      <w:r w:rsidRPr="006E32C1">
        <w:rPr>
          <w:rFonts w:ascii="Arial" w:eastAsia="Arial" w:hAnsi="Arial" w:cs="Arial"/>
          <w:color w:val="000000" w:themeColor="text1"/>
          <w:sz w:val="20"/>
          <w:szCs w:val="20"/>
          <w:lang w:val="en-US" w:eastAsia="en-US"/>
        </w:rPr>
        <w:t>policies and processes.</w:t>
      </w:r>
      <w:bookmarkStart w:id="3" w:name="_Hlk102114593"/>
    </w:p>
    <w:bookmarkEnd w:id="3"/>
    <w:p w14:paraId="31936E03" w14:textId="7A83274B" w:rsidR="002333C9" w:rsidRPr="006E32C1" w:rsidRDefault="002333C9" w:rsidP="00BC5786">
      <w:pPr>
        <w:rPr>
          <w:rFonts w:ascii="Arial" w:eastAsia="Arial" w:hAnsi="Arial" w:cs="Arial"/>
          <w:color w:val="000000" w:themeColor="text1"/>
          <w:sz w:val="20"/>
          <w:szCs w:val="20"/>
          <w:lang w:val="en-US" w:eastAsia="en-US"/>
        </w:rPr>
      </w:pPr>
      <w:r w:rsidRPr="006E32C1">
        <w:rPr>
          <w:rFonts w:ascii="Arial" w:eastAsia="Arial" w:hAnsi="Arial" w:cs="Arial"/>
          <w:color w:val="000000" w:themeColor="text1"/>
          <w:sz w:val="20"/>
          <w:szCs w:val="20"/>
          <w:lang w:val="en-US" w:eastAsia="en-US"/>
        </w:rPr>
        <w:t xml:space="preserve">The </w:t>
      </w:r>
      <w:r w:rsidR="006A067D" w:rsidRPr="006E32C1">
        <w:rPr>
          <w:rFonts w:ascii="Arial" w:eastAsia="Arial" w:hAnsi="Arial" w:cs="Arial"/>
          <w:color w:val="000000" w:themeColor="text1"/>
          <w:sz w:val="20"/>
          <w:szCs w:val="20"/>
          <w:lang w:val="en-US" w:eastAsia="en-US"/>
        </w:rPr>
        <w:t>RMF</w:t>
      </w:r>
      <w:r w:rsidR="004838E5" w:rsidRPr="006E32C1">
        <w:rPr>
          <w:rFonts w:ascii="Arial" w:eastAsia="Arial" w:hAnsi="Arial" w:cs="Arial"/>
          <w:color w:val="000000" w:themeColor="text1"/>
          <w:sz w:val="20"/>
          <w:szCs w:val="20"/>
          <w:lang w:val="en-US" w:eastAsia="en-US"/>
        </w:rPr>
        <w:t xml:space="preserve"> </w:t>
      </w:r>
      <w:r w:rsidRPr="006E32C1">
        <w:rPr>
          <w:rFonts w:ascii="Arial" w:eastAsia="Arial" w:hAnsi="Arial" w:cs="Arial"/>
          <w:color w:val="000000" w:themeColor="text1"/>
          <w:sz w:val="20"/>
          <w:szCs w:val="20"/>
          <w:lang w:val="en-US" w:eastAsia="en-US"/>
        </w:rPr>
        <w:t>applies</w:t>
      </w:r>
      <w:r w:rsidRPr="006E32C1">
        <w:rPr>
          <w:rFonts w:ascii="Arial" w:hAnsi="Arial" w:cs="Arial"/>
          <w:color w:val="000000" w:themeColor="text1"/>
          <w:sz w:val="20"/>
          <w:szCs w:val="20"/>
          <w:lang w:val="en-US"/>
        </w:rPr>
        <w:t xml:space="preserve"> to </w:t>
      </w:r>
      <w:r w:rsidR="005B61B0" w:rsidRPr="006E32C1">
        <w:rPr>
          <w:rFonts w:ascii="Arial" w:eastAsia="Arial" w:hAnsi="Arial" w:cs="Arial"/>
          <w:color w:val="000000" w:themeColor="text1"/>
          <w:sz w:val="20"/>
          <w:szCs w:val="20"/>
          <w:lang w:val="en-US" w:eastAsia="en-US"/>
        </w:rPr>
        <w:t>Citibank Uganda Limited</w:t>
      </w:r>
      <w:r w:rsidR="009E406C" w:rsidRPr="006E32C1">
        <w:rPr>
          <w:rFonts w:ascii="Arial" w:eastAsia="Arial" w:hAnsi="Arial" w:cs="Arial"/>
          <w:color w:val="000000" w:themeColor="text1"/>
          <w:sz w:val="20"/>
          <w:szCs w:val="20"/>
          <w:lang w:val="en-US" w:eastAsia="en-US"/>
        </w:rPr>
        <w:t xml:space="preserve"> </w:t>
      </w:r>
      <w:r w:rsidRPr="006E32C1">
        <w:rPr>
          <w:rFonts w:ascii="Arial" w:eastAsia="Arial" w:hAnsi="Arial" w:cs="Arial"/>
          <w:color w:val="000000" w:themeColor="text1"/>
          <w:sz w:val="20"/>
          <w:szCs w:val="20"/>
          <w:lang w:val="en-US" w:eastAsia="en-US"/>
        </w:rPr>
        <w:t xml:space="preserve">and </w:t>
      </w:r>
      <w:r w:rsidR="009C0868" w:rsidRPr="006E32C1">
        <w:rPr>
          <w:rFonts w:ascii="Arial" w:eastAsia="Arial" w:hAnsi="Arial" w:cs="Arial"/>
          <w:color w:val="000000" w:themeColor="text1"/>
          <w:sz w:val="20"/>
          <w:szCs w:val="20"/>
          <w:lang w:val="en-US" w:eastAsia="en-US"/>
        </w:rPr>
        <w:t>all</w:t>
      </w:r>
      <w:r w:rsidR="008231AD" w:rsidRPr="006E32C1">
        <w:rPr>
          <w:rFonts w:ascii="Arial" w:eastAsia="Arial" w:hAnsi="Arial" w:cs="Arial"/>
          <w:color w:val="000000" w:themeColor="text1"/>
          <w:sz w:val="20"/>
          <w:szCs w:val="20"/>
          <w:lang w:val="en-US" w:eastAsia="en-US"/>
        </w:rPr>
        <w:t xml:space="preserve"> its</w:t>
      </w:r>
      <w:r w:rsidR="007D01A4" w:rsidRPr="006E32C1">
        <w:rPr>
          <w:rFonts w:ascii="Arial" w:eastAsia="Arial" w:hAnsi="Arial" w:cs="Arial"/>
          <w:color w:val="000000" w:themeColor="text1"/>
          <w:sz w:val="20"/>
          <w:szCs w:val="20"/>
          <w:lang w:val="en-US" w:eastAsia="en-US"/>
        </w:rPr>
        <w:t xml:space="preserve"> </w:t>
      </w:r>
      <w:r w:rsidRPr="006E32C1">
        <w:rPr>
          <w:rFonts w:ascii="Arial" w:eastAsia="Arial" w:hAnsi="Arial" w:cs="Arial"/>
          <w:color w:val="000000" w:themeColor="text1"/>
          <w:sz w:val="20"/>
          <w:szCs w:val="20"/>
          <w:lang w:val="en-US" w:eastAsia="en-US"/>
        </w:rPr>
        <w:t>businesses</w:t>
      </w:r>
      <w:r w:rsidR="008231AD" w:rsidRPr="006E32C1">
        <w:rPr>
          <w:rFonts w:ascii="Arial" w:eastAsia="Arial" w:hAnsi="Arial" w:cs="Arial"/>
          <w:color w:val="000000" w:themeColor="text1"/>
          <w:sz w:val="20"/>
          <w:szCs w:val="20"/>
          <w:lang w:val="en-US" w:eastAsia="en-US"/>
        </w:rPr>
        <w:t xml:space="preserve">, </w:t>
      </w:r>
      <w:r w:rsidRPr="006E32C1">
        <w:rPr>
          <w:rFonts w:ascii="Arial" w:eastAsia="Arial" w:hAnsi="Arial" w:cs="Arial"/>
          <w:color w:val="000000" w:themeColor="text1"/>
          <w:sz w:val="20"/>
          <w:szCs w:val="20"/>
          <w:lang w:val="en-US" w:eastAsia="en-US"/>
        </w:rPr>
        <w:t xml:space="preserve">functions </w:t>
      </w:r>
      <w:r w:rsidR="007D01A4" w:rsidRPr="006E32C1">
        <w:rPr>
          <w:rFonts w:ascii="Arial" w:eastAsia="Arial" w:hAnsi="Arial" w:cs="Arial"/>
          <w:color w:val="000000" w:themeColor="text1"/>
          <w:sz w:val="20"/>
          <w:szCs w:val="20"/>
          <w:lang w:val="en-US" w:eastAsia="en-US"/>
        </w:rPr>
        <w:t xml:space="preserve">and geographies </w:t>
      </w:r>
      <w:r w:rsidRPr="006E32C1">
        <w:rPr>
          <w:rFonts w:ascii="Arial" w:eastAsia="Arial" w:hAnsi="Arial" w:cs="Arial"/>
          <w:color w:val="000000" w:themeColor="text1"/>
          <w:sz w:val="20"/>
          <w:szCs w:val="20"/>
          <w:lang w:val="en-US" w:eastAsia="en-US"/>
        </w:rPr>
        <w:t>th</w:t>
      </w:r>
      <w:r w:rsidR="009F02D4" w:rsidRPr="006E32C1">
        <w:rPr>
          <w:rFonts w:ascii="Arial" w:eastAsia="Arial" w:hAnsi="Arial" w:cs="Arial"/>
          <w:color w:val="000000" w:themeColor="text1"/>
          <w:sz w:val="20"/>
          <w:szCs w:val="20"/>
          <w:lang w:val="en-US" w:eastAsia="en-US"/>
        </w:rPr>
        <w:t>at give rise to risk exposure</w:t>
      </w:r>
      <w:r w:rsidR="00640F59" w:rsidRPr="006E32C1">
        <w:rPr>
          <w:rFonts w:ascii="Arial" w:eastAsia="Arial" w:hAnsi="Arial" w:cs="Arial"/>
          <w:color w:val="000000" w:themeColor="text1"/>
          <w:sz w:val="20"/>
          <w:szCs w:val="20"/>
          <w:lang w:val="en-US" w:eastAsia="en-US"/>
        </w:rPr>
        <w:t xml:space="preserve">s in </w:t>
      </w:r>
      <w:r w:rsidR="005B61B0" w:rsidRPr="006E32C1">
        <w:rPr>
          <w:rFonts w:ascii="Arial" w:eastAsia="Arial" w:hAnsi="Arial" w:cs="Arial"/>
          <w:color w:val="000000" w:themeColor="text1"/>
          <w:sz w:val="20"/>
          <w:szCs w:val="20"/>
          <w:lang w:val="en-US" w:eastAsia="en-US"/>
        </w:rPr>
        <w:t>Citibank Uganda Limited</w:t>
      </w:r>
      <w:r w:rsidR="009F02D4" w:rsidRPr="006E32C1">
        <w:rPr>
          <w:rFonts w:ascii="Arial" w:eastAsia="Arial" w:hAnsi="Arial" w:cs="Arial"/>
          <w:color w:val="000000" w:themeColor="text1"/>
          <w:sz w:val="20"/>
          <w:szCs w:val="20"/>
          <w:lang w:val="en-US" w:eastAsia="en-US"/>
        </w:rPr>
        <w:t>.</w:t>
      </w:r>
    </w:p>
    <w:p w14:paraId="56A682B5" w14:textId="478B0659" w:rsidR="004C56AD" w:rsidRPr="006E32C1" w:rsidRDefault="009512F4" w:rsidP="00767775">
      <w:pPr>
        <w:rPr>
          <w:rFonts w:ascii="Arial" w:hAnsi="Arial" w:cs="Arial"/>
          <w:color w:val="000000" w:themeColor="text1"/>
          <w:sz w:val="20"/>
          <w:szCs w:val="20"/>
          <w:lang w:val="en-US"/>
        </w:rPr>
      </w:pPr>
      <w:bookmarkStart w:id="4" w:name="_Hlk103851980"/>
      <w:r w:rsidRPr="006E32C1">
        <w:rPr>
          <w:rFonts w:ascii="Arial" w:hAnsi="Arial" w:cs="Arial"/>
          <w:color w:val="000000" w:themeColor="text1"/>
          <w:sz w:val="20"/>
          <w:szCs w:val="20"/>
          <w:lang w:val="en-US"/>
        </w:rPr>
        <w:t xml:space="preserve">The </w:t>
      </w:r>
      <w:r w:rsidR="005B61B0" w:rsidRPr="006E32C1">
        <w:rPr>
          <w:rFonts w:ascii="Arial" w:hAnsi="Arial" w:cs="Arial"/>
          <w:color w:val="000000" w:themeColor="text1"/>
          <w:sz w:val="20"/>
          <w:szCs w:val="20"/>
          <w:lang w:val="en-US"/>
        </w:rPr>
        <w:t>Citibank Uganda Limited</w:t>
      </w:r>
      <w:r w:rsidRPr="006E32C1">
        <w:rPr>
          <w:rFonts w:ascii="Arial" w:hAnsi="Arial" w:cs="Arial"/>
          <w:color w:val="000000" w:themeColor="text1"/>
          <w:sz w:val="20"/>
          <w:szCs w:val="20"/>
          <w:lang w:val="en-US"/>
        </w:rPr>
        <w:t xml:space="preserve"> RMF is owned by </w:t>
      </w:r>
      <w:r w:rsidR="00CB4BF8" w:rsidRPr="006E32C1">
        <w:rPr>
          <w:rFonts w:ascii="Arial" w:hAnsi="Arial" w:cs="Arial"/>
          <w:color w:val="000000" w:themeColor="text1"/>
          <w:sz w:val="20"/>
          <w:szCs w:val="20"/>
          <w:lang w:val="en-US"/>
        </w:rPr>
        <w:t>Citibank Uganda Limited Risk Management Country Officer (RMCO)</w:t>
      </w:r>
      <w:r w:rsidR="00B61A8F" w:rsidRPr="006E32C1">
        <w:rPr>
          <w:rFonts w:ascii="Arial" w:hAnsi="Arial" w:cs="Arial"/>
          <w:color w:val="000000" w:themeColor="text1"/>
          <w:sz w:val="20"/>
          <w:szCs w:val="20"/>
          <w:lang w:val="en-US"/>
        </w:rPr>
        <w:t>.</w:t>
      </w:r>
      <w:bookmarkEnd w:id="4"/>
    </w:p>
    <w:p w14:paraId="7E898A17" w14:textId="6285AA4C" w:rsidR="00A972E0" w:rsidRPr="006E32C1" w:rsidRDefault="002333C9" w:rsidP="00A972E0">
      <w:pPr>
        <w:rPr>
          <w:rFonts w:ascii="Arial" w:hAnsi="Arial" w:cs="Arial"/>
          <w:color w:val="000000" w:themeColor="text1"/>
          <w:sz w:val="20"/>
          <w:szCs w:val="20"/>
          <w:lang w:val="en-US"/>
        </w:rPr>
      </w:pPr>
      <w:r w:rsidRPr="006E32C1">
        <w:rPr>
          <w:rFonts w:ascii="Arial" w:hAnsi="Arial" w:cs="Arial"/>
          <w:color w:val="000000" w:themeColor="text1"/>
          <w:sz w:val="20"/>
          <w:szCs w:val="20"/>
          <w:lang w:val="en-US"/>
        </w:rPr>
        <w:t>The</w:t>
      </w:r>
      <w:r w:rsidR="00FB5328" w:rsidRPr="006E32C1">
        <w:rPr>
          <w:rFonts w:ascii="Arial" w:hAnsi="Arial" w:cs="Arial"/>
          <w:color w:val="000000" w:themeColor="text1"/>
          <w:sz w:val="20"/>
          <w:szCs w:val="20"/>
          <w:lang w:val="en-US"/>
        </w:rPr>
        <w:t xml:space="preserve"> </w:t>
      </w:r>
      <w:r w:rsidR="0083018A" w:rsidRPr="006E32C1">
        <w:rPr>
          <w:rFonts w:ascii="Arial" w:hAnsi="Arial" w:cs="Arial"/>
          <w:color w:val="000000" w:themeColor="text1"/>
          <w:sz w:val="20"/>
          <w:szCs w:val="20"/>
          <w:lang w:val="en-US"/>
        </w:rPr>
        <w:t>RMF</w:t>
      </w:r>
      <w:r w:rsidRPr="006E32C1">
        <w:rPr>
          <w:rFonts w:ascii="Arial" w:hAnsi="Arial" w:cs="Arial"/>
          <w:color w:val="000000" w:themeColor="text1"/>
          <w:sz w:val="20"/>
          <w:szCs w:val="20"/>
          <w:lang w:val="en-US"/>
        </w:rPr>
        <w:t xml:space="preserve"> is reviewed</w:t>
      </w:r>
      <w:r w:rsidR="0008703E" w:rsidRPr="006E32C1">
        <w:rPr>
          <w:rFonts w:ascii="Arial" w:hAnsi="Arial" w:cs="Arial"/>
          <w:color w:val="000000" w:themeColor="text1"/>
          <w:sz w:val="20"/>
          <w:szCs w:val="20"/>
          <w:lang w:val="en-US"/>
        </w:rPr>
        <w:t xml:space="preserve"> and approved by </w:t>
      </w:r>
      <w:r w:rsidR="005B61B0" w:rsidRPr="006E32C1">
        <w:rPr>
          <w:rFonts w:ascii="Arial" w:hAnsi="Arial" w:cs="Arial"/>
          <w:color w:val="000000" w:themeColor="text1"/>
          <w:sz w:val="20"/>
          <w:szCs w:val="20"/>
          <w:lang w:val="en-US"/>
        </w:rPr>
        <w:t>Citibank Uganda Limited</w:t>
      </w:r>
      <w:r w:rsidR="0008703E" w:rsidRPr="006E32C1">
        <w:rPr>
          <w:rFonts w:ascii="Arial" w:hAnsi="Arial" w:cs="Arial"/>
          <w:color w:val="000000" w:themeColor="text1"/>
          <w:sz w:val="20"/>
          <w:szCs w:val="20"/>
          <w:lang w:val="en-US"/>
        </w:rPr>
        <w:t xml:space="preserve"> </w:t>
      </w:r>
      <w:r w:rsidR="004B7C84" w:rsidRPr="006E32C1">
        <w:rPr>
          <w:rFonts w:ascii="Arial" w:hAnsi="Arial" w:cs="Arial"/>
          <w:color w:val="000000" w:themeColor="text1"/>
          <w:sz w:val="20"/>
          <w:szCs w:val="20"/>
          <w:lang w:val="en-US"/>
        </w:rPr>
        <w:t xml:space="preserve">Country Coordinating Committee (CCC), Board Risk Committee (BRC) and Citibank Uganda Limited Board of Directors (The Board) </w:t>
      </w:r>
      <w:r w:rsidR="003A124F" w:rsidRPr="006E32C1">
        <w:rPr>
          <w:rFonts w:ascii="Arial" w:hAnsi="Arial" w:cs="Arial"/>
          <w:color w:val="000000" w:themeColor="text1"/>
          <w:sz w:val="20"/>
          <w:szCs w:val="20"/>
          <w:lang w:val="en-US"/>
        </w:rPr>
        <w:t>annually</w:t>
      </w:r>
      <w:r w:rsidRPr="006E32C1">
        <w:rPr>
          <w:rFonts w:ascii="Arial" w:hAnsi="Arial" w:cs="Arial"/>
          <w:color w:val="000000" w:themeColor="text1"/>
          <w:sz w:val="20"/>
          <w:szCs w:val="20"/>
          <w:lang w:val="en-US"/>
        </w:rPr>
        <w:t xml:space="preserve">, at </w:t>
      </w:r>
      <w:r w:rsidR="003A124F" w:rsidRPr="006E32C1">
        <w:rPr>
          <w:rFonts w:ascii="Arial" w:hAnsi="Arial" w:cs="Arial"/>
          <w:color w:val="000000" w:themeColor="text1"/>
          <w:sz w:val="20"/>
          <w:szCs w:val="20"/>
          <w:lang w:val="en-US"/>
        </w:rPr>
        <w:t xml:space="preserve">a </w:t>
      </w:r>
      <w:r w:rsidRPr="006E32C1">
        <w:rPr>
          <w:rFonts w:ascii="Arial" w:hAnsi="Arial" w:cs="Arial"/>
          <w:color w:val="000000" w:themeColor="text1"/>
          <w:sz w:val="20"/>
          <w:szCs w:val="20"/>
          <w:lang w:val="en-US"/>
        </w:rPr>
        <w:t xml:space="preserve">minimum to ensure that it remains fit-for-purpose. </w:t>
      </w:r>
      <w:r w:rsidR="00D96CBC" w:rsidRPr="006E32C1">
        <w:rPr>
          <w:rFonts w:ascii="Arial" w:hAnsi="Arial" w:cs="Arial"/>
          <w:color w:val="000000" w:themeColor="text1"/>
          <w:sz w:val="20"/>
          <w:szCs w:val="20"/>
          <w:lang w:val="en-US"/>
        </w:rPr>
        <w:t xml:space="preserve">Reviews are led by </w:t>
      </w:r>
      <w:r w:rsidR="004B7C84" w:rsidRPr="006E32C1">
        <w:rPr>
          <w:rFonts w:ascii="Arial" w:hAnsi="Arial" w:cs="Arial"/>
          <w:color w:val="000000" w:themeColor="text1"/>
          <w:sz w:val="20"/>
          <w:szCs w:val="20"/>
          <w:lang w:val="en-US"/>
        </w:rPr>
        <w:t>Citibank Uganda Limited RMCO</w:t>
      </w:r>
      <w:r w:rsidR="00501C10" w:rsidRPr="006E32C1">
        <w:rPr>
          <w:rFonts w:ascii="Arial" w:hAnsi="Arial" w:cs="Arial"/>
          <w:color w:val="000000" w:themeColor="text1"/>
          <w:sz w:val="20"/>
          <w:szCs w:val="20"/>
          <w:lang w:val="en-US"/>
        </w:rPr>
        <w:t>.</w:t>
      </w:r>
      <w:r w:rsidR="00D96CBC" w:rsidRPr="006E32C1">
        <w:rPr>
          <w:rFonts w:ascii="Arial" w:hAnsi="Arial" w:cs="Arial"/>
          <w:color w:val="000000" w:themeColor="text1"/>
          <w:sz w:val="20"/>
          <w:szCs w:val="20"/>
          <w:lang w:val="en-US"/>
        </w:rPr>
        <w:t xml:space="preserve"> </w:t>
      </w:r>
      <w:r w:rsidRPr="006E32C1">
        <w:rPr>
          <w:rFonts w:ascii="Arial" w:hAnsi="Arial" w:cs="Arial"/>
          <w:color w:val="000000" w:themeColor="text1"/>
          <w:sz w:val="20"/>
          <w:szCs w:val="20"/>
          <w:lang w:val="en-US"/>
        </w:rPr>
        <w:t xml:space="preserve">Ad-hoc changes may be required following any material changes or updates to </w:t>
      </w:r>
      <w:r w:rsidR="005B61B0" w:rsidRPr="006E32C1">
        <w:rPr>
          <w:rFonts w:ascii="Arial" w:eastAsia="Arial" w:hAnsi="Arial" w:cs="Arial"/>
          <w:color w:val="000000" w:themeColor="text1"/>
          <w:sz w:val="20"/>
          <w:szCs w:val="20"/>
          <w:lang w:val="en-US" w:eastAsia="en-US"/>
        </w:rPr>
        <w:t>Citibank Uganda Limited</w:t>
      </w:r>
      <w:r w:rsidR="00453D15" w:rsidRPr="006E32C1">
        <w:rPr>
          <w:rFonts w:ascii="Arial" w:eastAsia="Arial" w:hAnsi="Arial" w:cs="Arial"/>
          <w:color w:val="000000" w:themeColor="text1"/>
          <w:sz w:val="20"/>
          <w:szCs w:val="20"/>
          <w:lang w:val="en-US" w:eastAsia="en-US"/>
        </w:rPr>
        <w:t>’s</w:t>
      </w:r>
      <w:r w:rsidRPr="006E32C1">
        <w:rPr>
          <w:rFonts w:ascii="Arial" w:hAnsi="Arial" w:cs="Arial"/>
          <w:color w:val="000000" w:themeColor="text1"/>
          <w:sz w:val="20"/>
          <w:szCs w:val="20"/>
          <w:lang w:val="en-US"/>
        </w:rPr>
        <w:t xml:space="preserve"> risk profile, organizational structure, </w:t>
      </w:r>
      <w:r w:rsidR="00453D15" w:rsidRPr="006E32C1">
        <w:rPr>
          <w:rFonts w:ascii="Arial" w:hAnsi="Arial" w:cs="Arial"/>
          <w:color w:val="000000" w:themeColor="text1"/>
          <w:sz w:val="20"/>
          <w:szCs w:val="20"/>
          <w:lang w:val="en-US"/>
        </w:rPr>
        <w:t>risk management</w:t>
      </w:r>
      <w:r w:rsidRPr="006E32C1">
        <w:rPr>
          <w:rFonts w:ascii="Arial" w:hAnsi="Arial" w:cs="Arial"/>
          <w:color w:val="000000" w:themeColor="text1"/>
          <w:sz w:val="20"/>
          <w:szCs w:val="20"/>
          <w:lang w:val="en-US"/>
        </w:rPr>
        <w:t xml:space="preserve"> practices, emerging or growing risks, strategic plan, regulatory requirements and other relevant internal or external factors</w:t>
      </w:r>
      <w:r w:rsidR="003C0AD0" w:rsidRPr="006E32C1">
        <w:rPr>
          <w:rFonts w:ascii="Arial" w:hAnsi="Arial" w:cs="Arial"/>
          <w:color w:val="000000" w:themeColor="text1"/>
          <w:sz w:val="20"/>
          <w:szCs w:val="20"/>
          <w:lang w:val="en-US"/>
        </w:rPr>
        <w:t xml:space="preserve"> as applicable</w:t>
      </w:r>
      <w:r w:rsidRPr="006E32C1">
        <w:rPr>
          <w:rFonts w:ascii="Arial" w:hAnsi="Arial" w:cs="Arial"/>
          <w:color w:val="000000" w:themeColor="text1"/>
          <w:sz w:val="20"/>
          <w:szCs w:val="20"/>
          <w:lang w:val="en-US"/>
        </w:rPr>
        <w:t xml:space="preserve">. These </w:t>
      </w:r>
      <w:r w:rsidR="00BE7D13" w:rsidRPr="006E32C1">
        <w:rPr>
          <w:rFonts w:ascii="Arial" w:hAnsi="Arial" w:cs="Arial"/>
          <w:color w:val="000000" w:themeColor="text1"/>
          <w:sz w:val="20"/>
          <w:szCs w:val="20"/>
          <w:lang w:val="en-US"/>
        </w:rPr>
        <w:t xml:space="preserve">material </w:t>
      </w:r>
      <w:r w:rsidRPr="006E32C1">
        <w:rPr>
          <w:rFonts w:ascii="Arial" w:hAnsi="Arial" w:cs="Arial"/>
          <w:color w:val="000000" w:themeColor="text1"/>
          <w:sz w:val="20"/>
          <w:szCs w:val="20"/>
          <w:lang w:val="en-US"/>
        </w:rPr>
        <w:t xml:space="preserve">changes </w:t>
      </w:r>
      <w:r w:rsidR="00E72EC6" w:rsidRPr="006E32C1">
        <w:rPr>
          <w:rFonts w:ascii="Arial" w:hAnsi="Arial" w:cs="Arial"/>
          <w:color w:val="000000" w:themeColor="text1"/>
          <w:sz w:val="20"/>
          <w:szCs w:val="20"/>
          <w:lang w:val="en-US"/>
        </w:rPr>
        <w:t>are</w:t>
      </w:r>
      <w:r w:rsidRPr="006E32C1">
        <w:rPr>
          <w:rFonts w:ascii="Arial" w:hAnsi="Arial" w:cs="Arial"/>
          <w:color w:val="000000" w:themeColor="text1"/>
          <w:sz w:val="20"/>
          <w:szCs w:val="20"/>
          <w:lang w:val="en-US"/>
        </w:rPr>
        <w:t xml:space="preserve"> presented by the</w:t>
      </w:r>
      <w:r w:rsidR="00DF241C" w:rsidRPr="006E32C1">
        <w:rPr>
          <w:rFonts w:ascii="Arial" w:hAnsi="Arial" w:cs="Arial"/>
          <w:color w:val="000000" w:themeColor="text1"/>
          <w:sz w:val="20"/>
          <w:szCs w:val="20"/>
          <w:lang w:val="en-US"/>
        </w:rPr>
        <w:t xml:space="preserve"> </w:t>
      </w:r>
      <w:r w:rsidR="004B7C84" w:rsidRPr="006E32C1">
        <w:rPr>
          <w:rFonts w:ascii="Arial" w:hAnsi="Arial" w:cs="Arial"/>
          <w:color w:val="000000" w:themeColor="text1"/>
          <w:sz w:val="20"/>
          <w:szCs w:val="20"/>
          <w:lang w:val="en-US"/>
        </w:rPr>
        <w:t>Citibank Uganda Limited RMCO</w:t>
      </w:r>
      <w:r w:rsidR="004B7C84" w:rsidRPr="006E32C1" w:rsidDel="00430468">
        <w:rPr>
          <w:rFonts w:ascii="Arial" w:hAnsi="Arial" w:cs="Arial"/>
          <w:color w:val="000000" w:themeColor="text1"/>
          <w:sz w:val="20"/>
          <w:szCs w:val="20"/>
          <w:lang w:val="en-US"/>
        </w:rPr>
        <w:t xml:space="preserve"> </w:t>
      </w:r>
      <w:r w:rsidR="00A972E0" w:rsidRPr="006E32C1">
        <w:rPr>
          <w:rFonts w:ascii="Arial" w:hAnsi="Arial" w:cs="Arial"/>
          <w:color w:val="000000" w:themeColor="text1"/>
          <w:sz w:val="20"/>
          <w:szCs w:val="20"/>
          <w:lang w:val="en-US"/>
        </w:rPr>
        <w:t xml:space="preserve">to be approved by the </w:t>
      </w:r>
      <w:r w:rsidR="004B7C84" w:rsidRPr="006E32C1">
        <w:rPr>
          <w:rFonts w:ascii="Arial" w:hAnsi="Arial" w:cs="Arial"/>
          <w:color w:val="000000" w:themeColor="text1"/>
          <w:sz w:val="20"/>
          <w:szCs w:val="20"/>
          <w:lang w:val="en-US"/>
        </w:rPr>
        <w:t>Citibank Uganda Limited CCC and the Board</w:t>
      </w:r>
      <w:r w:rsidR="00A972E0" w:rsidRPr="006E32C1">
        <w:rPr>
          <w:rFonts w:ascii="Arial" w:hAnsi="Arial" w:cs="Arial"/>
          <w:color w:val="000000" w:themeColor="text1"/>
          <w:sz w:val="20"/>
          <w:szCs w:val="20"/>
          <w:lang w:val="en-US"/>
        </w:rPr>
        <w:t xml:space="preserve">. The </w:t>
      </w:r>
      <w:r w:rsidR="004B7C84" w:rsidRPr="006E32C1">
        <w:rPr>
          <w:rFonts w:ascii="Arial" w:hAnsi="Arial" w:cs="Arial"/>
          <w:color w:val="000000" w:themeColor="text1"/>
          <w:sz w:val="20"/>
          <w:szCs w:val="20"/>
          <w:lang w:val="en-US"/>
        </w:rPr>
        <w:t>Citibank Uganda Limited RMCO</w:t>
      </w:r>
      <w:r w:rsidR="004B7C84" w:rsidRPr="006E32C1" w:rsidDel="00430468">
        <w:rPr>
          <w:rFonts w:ascii="Arial" w:hAnsi="Arial" w:cs="Arial"/>
          <w:color w:val="000000" w:themeColor="text1"/>
          <w:sz w:val="20"/>
          <w:szCs w:val="20"/>
          <w:lang w:val="en-US"/>
        </w:rPr>
        <w:t xml:space="preserve"> </w:t>
      </w:r>
      <w:r w:rsidR="001C7655" w:rsidRPr="006E32C1">
        <w:rPr>
          <w:rFonts w:ascii="Arial" w:hAnsi="Arial" w:cs="Arial"/>
          <w:color w:val="000000" w:themeColor="text1"/>
          <w:sz w:val="20"/>
          <w:szCs w:val="20"/>
          <w:lang w:val="en-US"/>
        </w:rPr>
        <w:t xml:space="preserve">is </w:t>
      </w:r>
      <w:r w:rsidR="00A972E0" w:rsidRPr="006E32C1">
        <w:rPr>
          <w:rFonts w:ascii="Arial" w:hAnsi="Arial" w:cs="Arial"/>
          <w:color w:val="000000" w:themeColor="text1"/>
          <w:sz w:val="20"/>
          <w:szCs w:val="20"/>
          <w:lang w:val="en-US"/>
        </w:rPr>
        <w:t xml:space="preserve">responsible for the oversight and administration of the </w:t>
      </w:r>
      <w:r w:rsidR="004B7C84" w:rsidRPr="006E32C1">
        <w:rPr>
          <w:rFonts w:ascii="Arial" w:hAnsi="Arial" w:cs="Arial"/>
          <w:color w:val="000000" w:themeColor="text1"/>
          <w:sz w:val="20"/>
          <w:szCs w:val="20"/>
          <w:lang w:val="en-US"/>
        </w:rPr>
        <w:t xml:space="preserve">Citibank Uganda Limited </w:t>
      </w:r>
      <w:r w:rsidR="00A972E0" w:rsidRPr="006E32C1">
        <w:rPr>
          <w:rFonts w:ascii="Arial" w:hAnsi="Arial" w:cs="Arial"/>
          <w:color w:val="000000" w:themeColor="text1"/>
          <w:sz w:val="20"/>
          <w:szCs w:val="20"/>
          <w:lang w:val="en-US"/>
        </w:rPr>
        <w:t>RMF.</w:t>
      </w:r>
    </w:p>
    <w:p w14:paraId="50713252" w14:textId="130941D1" w:rsidR="00343B54" w:rsidRPr="006E32C1" w:rsidRDefault="00343B54" w:rsidP="00BC5786">
      <w:pPr>
        <w:rPr>
          <w:rFonts w:ascii="Arial" w:hAnsi="Arial" w:cs="Arial"/>
          <w:color w:val="000000" w:themeColor="text1"/>
          <w:lang w:val="en-US"/>
        </w:rPr>
      </w:pPr>
    </w:p>
    <w:p w14:paraId="18A36EC1" w14:textId="11C9AC85" w:rsidR="004E6DB3" w:rsidRPr="006E32C1" w:rsidRDefault="00E85672" w:rsidP="00FF60B2">
      <w:pPr>
        <w:pStyle w:val="Heading1"/>
        <w:numPr>
          <w:ilvl w:val="0"/>
          <w:numId w:val="1"/>
        </w:numPr>
        <w:ind w:left="540" w:hanging="540"/>
        <w:rPr>
          <w:rFonts w:ascii="Arial" w:hAnsi="Arial" w:cs="Arial"/>
          <w:b/>
          <w:color w:val="000000" w:themeColor="text1"/>
          <w:sz w:val="28"/>
          <w:szCs w:val="28"/>
          <w:lang w:val="en-US"/>
        </w:rPr>
      </w:pPr>
      <w:bookmarkStart w:id="5" w:name="_Toc130808459"/>
      <w:bookmarkStart w:id="6" w:name="_Toc134525201"/>
      <w:bookmarkStart w:id="7" w:name="_Toc104362116"/>
      <w:r w:rsidRPr="006E32C1">
        <w:rPr>
          <w:rFonts w:ascii="Arial" w:hAnsi="Arial" w:cs="Arial"/>
          <w:b/>
          <w:color w:val="000000" w:themeColor="text1"/>
          <w:sz w:val="28"/>
          <w:szCs w:val="28"/>
          <w:lang w:val="en-US"/>
        </w:rPr>
        <w:t>Framework Provisions</w:t>
      </w:r>
      <w:bookmarkEnd w:id="5"/>
      <w:bookmarkEnd w:id="6"/>
    </w:p>
    <w:p w14:paraId="091F9C4A" w14:textId="77777777" w:rsidR="00A56DC0" w:rsidRPr="006E32C1" w:rsidRDefault="00A56DC0" w:rsidP="00C967FB">
      <w:pPr>
        <w:pStyle w:val="Heading2"/>
        <w:ind w:left="540"/>
        <w:rPr>
          <w:rFonts w:ascii="Arial" w:hAnsi="Arial" w:cs="Arial"/>
          <w:b/>
          <w:bCs/>
          <w:color w:val="000000" w:themeColor="text1"/>
          <w:sz w:val="24"/>
          <w:szCs w:val="24"/>
          <w:lang w:val="en-US"/>
        </w:rPr>
      </w:pPr>
    </w:p>
    <w:p w14:paraId="59E48675" w14:textId="55178DE4" w:rsidR="0083018A" w:rsidRPr="006E32C1" w:rsidRDefault="003123FB" w:rsidP="007D0EB4">
      <w:pPr>
        <w:pStyle w:val="Heading2"/>
        <w:numPr>
          <w:ilvl w:val="0"/>
          <w:numId w:val="17"/>
        </w:numPr>
        <w:ind w:left="540" w:hanging="540"/>
        <w:rPr>
          <w:rFonts w:ascii="Arial" w:hAnsi="Arial" w:cs="Arial"/>
          <w:b/>
          <w:bCs/>
          <w:color w:val="000000" w:themeColor="text1"/>
          <w:sz w:val="24"/>
          <w:szCs w:val="24"/>
          <w:lang w:val="en-US"/>
        </w:rPr>
      </w:pPr>
      <w:bookmarkStart w:id="8" w:name="_Toc130808460"/>
      <w:bookmarkStart w:id="9" w:name="_Toc134525202"/>
      <w:r w:rsidRPr="006E32C1">
        <w:rPr>
          <w:rFonts w:ascii="Arial" w:hAnsi="Arial" w:cs="Arial"/>
          <w:b/>
          <w:bCs/>
          <w:color w:val="000000" w:themeColor="text1"/>
          <w:sz w:val="24"/>
          <w:szCs w:val="24"/>
          <w:lang w:val="en-US"/>
        </w:rPr>
        <w:t xml:space="preserve">Overview of the </w:t>
      </w:r>
      <w:r w:rsidR="005B61B0" w:rsidRPr="006E32C1">
        <w:rPr>
          <w:rFonts w:ascii="Arial" w:hAnsi="Arial" w:cs="Arial"/>
          <w:b/>
          <w:bCs/>
          <w:color w:val="000000" w:themeColor="text1"/>
          <w:sz w:val="24"/>
          <w:szCs w:val="24"/>
          <w:lang w:val="en-US"/>
        </w:rPr>
        <w:t>Citibank Uganda Limited</w:t>
      </w:r>
      <w:r w:rsidR="00AE4B08" w:rsidRPr="006E32C1">
        <w:rPr>
          <w:rFonts w:ascii="Arial" w:hAnsi="Arial" w:cs="Arial"/>
          <w:b/>
          <w:bCs/>
          <w:color w:val="000000" w:themeColor="text1"/>
          <w:sz w:val="24"/>
          <w:szCs w:val="24"/>
          <w:lang w:val="en-US"/>
        </w:rPr>
        <w:t xml:space="preserve"> </w:t>
      </w:r>
      <w:r w:rsidRPr="006E32C1">
        <w:rPr>
          <w:rFonts w:ascii="Arial" w:hAnsi="Arial" w:cs="Arial"/>
          <w:b/>
          <w:bCs/>
          <w:color w:val="000000" w:themeColor="text1"/>
          <w:sz w:val="24"/>
          <w:szCs w:val="24"/>
          <w:lang w:val="en-US"/>
        </w:rPr>
        <w:t>Risk Management Framework</w:t>
      </w:r>
      <w:bookmarkEnd w:id="7"/>
      <w:bookmarkEnd w:id="8"/>
      <w:bookmarkEnd w:id="9"/>
    </w:p>
    <w:p w14:paraId="3EAEA7AC" w14:textId="77777777" w:rsidR="008700BB" w:rsidRPr="00F866F6" w:rsidRDefault="008700BB" w:rsidP="008700BB">
      <w:pPr>
        <w:pStyle w:val="Heading3"/>
        <w:numPr>
          <w:ilvl w:val="2"/>
          <w:numId w:val="1"/>
        </w:numPr>
        <w:ind w:left="720"/>
        <w:rPr>
          <w:rFonts w:ascii="Arial" w:hAnsi="Arial" w:cs="Arial"/>
          <w:color w:val="auto"/>
        </w:rPr>
      </w:pPr>
      <w:bookmarkStart w:id="10" w:name="_Toc135136700"/>
      <w:r w:rsidRPr="00F866F6">
        <w:rPr>
          <w:rFonts w:ascii="Arial" w:hAnsi="Arial" w:cs="Arial"/>
          <w:color w:val="auto"/>
        </w:rPr>
        <w:t>Definition of the Risk Management Framework</w:t>
      </w:r>
      <w:bookmarkEnd w:id="10"/>
    </w:p>
    <w:p w14:paraId="4D6344F4" w14:textId="77777777" w:rsidR="008700BB" w:rsidRPr="00F866F6" w:rsidRDefault="008700BB" w:rsidP="008700BB">
      <w:pPr>
        <w:rPr>
          <w:rFonts w:ascii="Arial" w:hAnsi="Arial" w:cs="Arial"/>
          <w:sz w:val="20"/>
          <w:szCs w:val="20"/>
        </w:rPr>
      </w:pPr>
      <w:r w:rsidRPr="00F866F6">
        <w:rPr>
          <w:rFonts w:ascii="Arial" w:hAnsi="Arial" w:cs="Arial"/>
          <w:sz w:val="20"/>
          <w:szCs w:val="20"/>
        </w:rPr>
        <w:t>Risk is defined as the potential for an adverse impact on Citi’s current or projected financial condition (i.e., diminished capital, earnings, and liquidity) and non-financial condition (i.e., ability to withstand stress, and unexpected or unfavourable outcomes). Citi engages in activities that expose the firm to risk across the Group. To address the potential for risk adversely impacting Citi, risk-mitigating activities must be undertaken consistently using Citi’s defined approach to risk management.</w:t>
      </w:r>
    </w:p>
    <w:p w14:paraId="74592BD0" w14:textId="77777777" w:rsidR="008700BB" w:rsidRPr="00F866F6" w:rsidRDefault="008700BB" w:rsidP="008700BB">
      <w:pPr>
        <w:rPr>
          <w:rFonts w:ascii="Arial" w:hAnsi="Arial" w:cs="Arial"/>
          <w:sz w:val="20"/>
          <w:szCs w:val="20"/>
        </w:rPr>
      </w:pPr>
      <w:r w:rsidRPr="00F866F6">
        <w:rPr>
          <w:rFonts w:ascii="Arial" w:hAnsi="Arial" w:cs="Arial"/>
          <w:sz w:val="20"/>
          <w:szCs w:val="20"/>
        </w:rPr>
        <w:t xml:space="preserve">Citi has defined policies for the management of risk at an enterprise-wide level and by risk category. The Citibank Uganda Limited RMF describes the applications of these policies for managing risks at the legal entity level. </w:t>
      </w:r>
    </w:p>
    <w:p w14:paraId="1BF2CF57" w14:textId="2C2FFA71" w:rsidR="008700BB" w:rsidRPr="00F866F6" w:rsidRDefault="008700BB" w:rsidP="008700BB">
      <w:pPr>
        <w:rPr>
          <w:rFonts w:ascii="Arial" w:hAnsi="Arial" w:cs="Arial"/>
          <w:sz w:val="20"/>
          <w:szCs w:val="20"/>
        </w:rPr>
      </w:pPr>
      <w:r w:rsidRPr="00F866F6">
        <w:rPr>
          <w:rFonts w:ascii="Arial" w:hAnsi="Arial" w:cs="Arial"/>
          <w:sz w:val="20"/>
          <w:szCs w:val="20"/>
        </w:rPr>
        <w:t xml:space="preserve">The Citibank Uganda Limited RMF (which aligns to the principles of the ERMF) identifies the ERMF Pillars most relevant for managing risks specifically within the legal entity and setting associated standards. </w:t>
      </w:r>
    </w:p>
    <w:p w14:paraId="4D08EAFC" w14:textId="77777777" w:rsidR="008700BB" w:rsidRPr="00F866F6" w:rsidRDefault="008700BB" w:rsidP="008700BB">
      <w:pPr>
        <w:rPr>
          <w:rFonts w:ascii="Arial" w:hAnsi="Arial" w:cs="Arial"/>
          <w:sz w:val="20"/>
          <w:szCs w:val="20"/>
        </w:rPr>
      </w:pPr>
    </w:p>
    <w:p w14:paraId="6A2BB018" w14:textId="77777777" w:rsidR="008700BB" w:rsidRPr="00F866F6" w:rsidRDefault="008700BB" w:rsidP="008700BB">
      <w:pPr>
        <w:pStyle w:val="Heading3"/>
        <w:numPr>
          <w:ilvl w:val="2"/>
          <w:numId w:val="1"/>
        </w:numPr>
        <w:ind w:left="720"/>
        <w:rPr>
          <w:rFonts w:ascii="Arial" w:hAnsi="Arial" w:cs="Arial"/>
          <w:color w:val="auto"/>
        </w:rPr>
      </w:pPr>
      <w:bookmarkStart w:id="11" w:name="_Toc130808462"/>
      <w:bookmarkStart w:id="12" w:name="_Toc135136701"/>
      <w:r w:rsidRPr="00F866F6">
        <w:rPr>
          <w:rFonts w:ascii="Arial" w:hAnsi="Arial" w:cs="Arial"/>
          <w:color w:val="auto"/>
        </w:rPr>
        <w:t xml:space="preserve">Components of the Citibank Uganda Limited </w:t>
      </w:r>
      <w:bookmarkEnd w:id="11"/>
      <w:bookmarkEnd w:id="12"/>
      <w:r w:rsidRPr="00F866F6">
        <w:rPr>
          <w:rFonts w:ascii="Arial" w:hAnsi="Arial" w:cs="Arial"/>
          <w:color w:val="auto"/>
        </w:rPr>
        <w:t>RMF</w:t>
      </w:r>
    </w:p>
    <w:p w14:paraId="290F6DCC" w14:textId="77777777" w:rsidR="008700BB" w:rsidRPr="00F866F6" w:rsidRDefault="008700BB" w:rsidP="008700BB">
      <w:pPr>
        <w:rPr>
          <w:rFonts w:ascii="Arial" w:hAnsi="Arial" w:cs="Arial"/>
          <w:sz w:val="20"/>
          <w:szCs w:val="20"/>
        </w:rPr>
      </w:pPr>
      <w:r w:rsidRPr="00F866F6">
        <w:rPr>
          <w:rFonts w:ascii="Arial" w:hAnsi="Arial" w:cs="Arial"/>
          <w:sz w:val="20"/>
          <w:szCs w:val="20"/>
        </w:rPr>
        <w:t>The Citibank Uganda Limited RMF follows Citi’s ERMF and is depicted in the diagram below. The ERMF comprises of the following components:</w:t>
      </w:r>
    </w:p>
    <w:p w14:paraId="4FF40639" w14:textId="77777777" w:rsidR="008700BB" w:rsidRPr="00F866F6" w:rsidRDefault="008700BB" w:rsidP="007D0EB4">
      <w:pPr>
        <w:pStyle w:val="ListParagraph"/>
        <w:numPr>
          <w:ilvl w:val="0"/>
          <w:numId w:val="16"/>
        </w:numPr>
        <w:rPr>
          <w:rFonts w:ascii="Arial" w:hAnsi="Arial" w:cs="Arial"/>
          <w:sz w:val="20"/>
          <w:szCs w:val="20"/>
        </w:rPr>
      </w:pPr>
      <w:r w:rsidRPr="00F866F6">
        <w:rPr>
          <w:rFonts w:ascii="Arial" w:hAnsi="Arial" w:cs="Arial"/>
          <w:b/>
          <w:bCs/>
          <w:sz w:val="20"/>
          <w:szCs w:val="20"/>
        </w:rPr>
        <w:t>Pillar 1: Culture</w:t>
      </w:r>
      <w:r w:rsidRPr="00F866F6">
        <w:rPr>
          <w:rFonts w:ascii="Arial" w:hAnsi="Arial" w:cs="Arial"/>
          <w:sz w:val="20"/>
          <w:szCs w:val="20"/>
        </w:rPr>
        <w:t xml:space="preserve"> describes the core principles and behaviours that underpin a strong culture of risk awareness, in line with Citi’s Mission and Value Proposition, and Leadership principles;</w:t>
      </w:r>
    </w:p>
    <w:p w14:paraId="5F9F8DC0" w14:textId="77777777" w:rsidR="008700BB" w:rsidRPr="00F866F6" w:rsidRDefault="008700BB" w:rsidP="007D0EB4">
      <w:pPr>
        <w:pStyle w:val="ListParagraph"/>
        <w:numPr>
          <w:ilvl w:val="0"/>
          <w:numId w:val="16"/>
        </w:numPr>
        <w:rPr>
          <w:rFonts w:ascii="Arial" w:hAnsi="Arial" w:cs="Arial"/>
          <w:sz w:val="20"/>
          <w:szCs w:val="20"/>
        </w:rPr>
      </w:pPr>
      <w:r w:rsidRPr="00F866F6">
        <w:rPr>
          <w:rFonts w:ascii="Arial" w:hAnsi="Arial" w:cs="Arial"/>
          <w:b/>
          <w:bCs/>
          <w:sz w:val="20"/>
          <w:szCs w:val="20"/>
        </w:rPr>
        <w:t>Pillar 2: Governance</w:t>
      </w:r>
      <w:r w:rsidRPr="00F866F6">
        <w:rPr>
          <w:rFonts w:ascii="Arial" w:hAnsi="Arial" w:cs="Arial"/>
          <w:sz w:val="20"/>
          <w:szCs w:val="20"/>
        </w:rPr>
        <w:t xml:space="preserve"> details the committee structure and reporting arrangements that support the appropriate oversight of risk management activities at the Board and Executive Management levels, and establishes Citi’s Lines of Defence model;</w:t>
      </w:r>
    </w:p>
    <w:p w14:paraId="070DDED0" w14:textId="77777777" w:rsidR="008700BB" w:rsidRPr="00F866F6" w:rsidRDefault="008700BB" w:rsidP="007D0EB4">
      <w:pPr>
        <w:pStyle w:val="ListParagraph"/>
        <w:numPr>
          <w:ilvl w:val="0"/>
          <w:numId w:val="16"/>
        </w:numPr>
        <w:rPr>
          <w:rFonts w:ascii="Arial" w:hAnsi="Arial" w:cs="Arial"/>
          <w:sz w:val="20"/>
          <w:szCs w:val="20"/>
        </w:rPr>
      </w:pPr>
      <w:r w:rsidRPr="00F866F6">
        <w:rPr>
          <w:rFonts w:ascii="Arial" w:hAnsi="Arial" w:cs="Arial"/>
          <w:b/>
          <w:bCs/>
          <w:sz w:val="20"/>
          <w:szCs w:val="20"/>
        </w:rPr>
        <w:t>Pillar 3: Risk Management</w:t>
      </w:r>
      <w:r w:rsidRPr="00F866F6">
        <w:rPr>
          <w:rFonts w:ascii="Arial" w:hAnsi="Arial" w:cs="Arial"/>
          <w:sz w:val="20"/>
          <w:szCs w:val="20"/>
        </w:rPr>
        <w:t xml:space="preserve"> details the end-to-end risk management lifecycle which comprises of activities to identify, measure, monitor, control and report all risks; including Top, Material, Growing, Idiosyncratic and Emerging risks, and aggregated to an enterprise-level; and</w:t>
      </w:r>
    </w:p>
    <w:p w14:paraId="3A297FCB" w14:textId="77777777" w:rsidR="008700BB" w:rsidRPr="00F866F6" w:rsidRDefault="008700BB" w:rsidP="007D0EB4">
      <w:pPr>
        <w:pStyle w:val="ListParagraph"/>
        <w:numPr>
          <w:ilvl w:val="0"/>
          <w:numId w:val="16"/>
        </w:numPr>
        <w:rPr>
          <w:rFonts w:ascii="Arial" w:hAnsi="Arial" w:cs="Arial"/>
          <w:sz w:val="20"/>
          <w:szCs w:val="20"/>
        </w:rPr>
      </w:pPr>
      <w:r w:rsidRPr="00F866F6">
        <w:rPr>
          <w:rFonts w:ascii="Arial" w:hAnsi="Arial" w:cs="Arial"/>
          <w:b/>
          <w:bCs/>
          <w:sz w:val="20"/>
          <w:szCs w:val="20"/>
        </w:rPr>
        <w:t>Pillar 4: Enterprise Programs</w:t>
      </w:r>
      <w:r w:rsidRPr="00F866F6">
        <w:rPr>
          <w:rFonts w:ascii="Arial" w:hAnsi="Arial" w:cs="Arial"/>
          <w:sz w:val="20"/>
          <w:szCs w:val="20"/>
        </w:rPr>
        <w:t xml:space="preserve"> defines the key risk management programs performed across the risk management lifecycle for all risk categories. </w:t>
      </w:r>
    </w:p>
    <w:p w14:paraId="65186B5B" w14:textId="77777777" w:rsidR="008700BB" w:rsidRPr="00F866F6" w:rsidRDefault="008700BB" w:rsidP="008700BB">
      <w:pPr>
        <w:rPr>
          <w:rFonts w:ascii="Arial" w:hAnsi="Arial" w:cs="Arial"/>
          <w:sz w:val="20"/>
          <w:szCs w:val="20"/>
        </w:rPr>
      </w:pPr>
      <w:r w:rsidRPr="00F866F6">
        <w:rPr>
          <w:rFonts w:ascii="Arial" w:hAnsi="Arial" w:cs="Arial"/>
          <w:sz w:val="20"/>
          <w:szCs w:val="20"/>
        </w:rPr>
        <w:t>Each of these pillars is underpinned by Section 2.8 Supporting Capabilities which include programs covering people, infrastructure and tools that are in place to enable the execution of the ERMF.</w:t>
      </w:r>
    </w:p>
    <w:p w14:paraId="74DB6F60" w14:textId="77777777" w:rsidR="008700BB" w:rsidRPr="00F866F6" w:rsidRDefault="008700BB" w:rsidP="008700BB">
      <w:pPr>
        <w:jc w:val="center"/>
        <w:rPr>
          <w:rFonts w:ascii="Arial" w:hAnsi="Arial" w:cs="Arial"/>
          <w:sz w:val="20"/>
          <w:szCs w:val="20"/>
        </w:rPr>
      </w:pPr>
      <w:r w:rsidRPr="00F866F6">
        <w:rPr>
          <w:noProof/>
        </w:rPr>
        <w:drawing>
          <wp:inline distT="0" distB="0" distL="0" distR="0" wp14:anchorId="64BCB89A" wp14:editId="3702D718">
            <wp:extent cx="4400550" cy="348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550" cy="3486150"/>
                    </a:xfrm>
                    <a:prstGeom prst="rect">
                      <a:avLst/>
                    </a:prstGeom>
                    <a:noFill/>
                    <a:ln>
                      <a:noFill/>
                    </a:ln>
                  </pic:spPr>
                </pic:pic>
              </a:graphicData>
            </a:graphic>
          </wp:inline>
        </w:drawing>
      </w:r>
    </w:p>
    <w:p w14:paraId="214CB69B" w14:textId="77777777" w:rsidR="008700BB" w:rsidRPr="00F866F6" w:rsidRDefault="008700BB" w:rsidP="008700BB">
      <w:pPr>
        <w:rPr>
          <w:rFonts w:ascii="Arial" w:hAnsi="Arial" w:cs="Arial"/>
          <w:sz w:val="20"/>
          <w:szCs w:val="20"/>
        </w:rPr>
      </w:pPr>
      <w:r w:rsidRPr="00F866F6">
        <w:rPr>
          <w:rFonts w:ascii="Arial" w:hAnsi="Arial" w:cs="Arial"/>
          <w:sz w:val="20"/>
          <w:szCs w:val="20"/>
        </w:rPr>
        <w:t>The ERMF is supported by policies and standards which provide greater detail on the minimum requirements associated with each enterprise program.</w:t>
      </w:r>
    </w:p>
    <w:p w14:paraId="17060E2F" w14:textId="77777777" w:rsidR="008700BB" w:rsidRPr="00F866F6" w:rsidRDefault="008700BB" w:rsidP="008700BB">
      <w:pPr>
        <w:rPr>
          <w:rFonts w:ascii="Arial" w:hAnsi="Arial" w:cs="Arial"/>
          <w:sz w:val="20"/>
          <w:szCs w:val="20"/>
        </w:rPr>
      </w:pPr>
      <w:r w:rsidRPr="00F866F6">
        <w:rPr>
          <w:rFonts w:ascii="Arial" w:hAnsi="Arial" w:cs="Arial"/>
          <w:sz w:val="20"/>
          <w:szCs w:val="20"/>
        </w:rPr>
        <w:t>These policies and standards establish the minimum requirements for legal entity risk management, risk governance and the associated roles and responsibilities, according to the legal entity’s tiering classification. These requirements do not supersede any local jurisdictional requirements and regulatory expectations.</w:t>
      </w:r>
    </w:p>
    <w:p w14:paraId="5E5AEB8D" w14:textId="77777777" w:rsidR="008700BB" w:rsidRPr="00F866F6" w:rsidRDefault="008700BB" w:rsidP="008700BB">
      <w:pPr>
        <w:rPr>
          <w:rFonts w:ascii="Arial" w:hAnsi="Arial" w:cs="Arial"/>
          <w:sz w:val="20"/>
          <w:szCs w:val="20"/>
        </w:rPr>
      </w:pPr>
    </w:p>
    <w:p w14:paraId="53D3A808" w14:textId="77777777" w:rsidR="00703D77" w:rsidRPr="008700BB" w:rsidRDefault="00703D77" w:rsidP="00BC5786">
      <w:pPr>
        <w:rPr>
          <w:rFonts w:ascii="Arial" w:hAnsi="Arial" w:cs="Arial"/>
        </w:rPr>
      </w:pPr>
    </w:p>
    <w:p w14:paraId="7C9B20F9" w14:textId="4F2BA66A" w:rsidR="001C7967" w:rsidRPr="006E32C1" w:rsidRDefault="001C7967" w:rsidP="007D0EB4">
      <w:pPr>
        <w:pStyle w:val="Heading2"/>
        <w:numPr>
          <w:ilvl w:val="0"/>
          <w:numId w:val="17"/>
        </w:numPr>
        <w:ind w:left="540" w:hanging="540"/>
        <w:rPr>
          <w:rFonts w:ascii="Arial" w:hAnsi="Arial" w:cs="Arial"/>
          <w:b/>
          <w:bCs/>
          <w:lang w:val="en-US"/>
        </w:rPr>
      </w:pPr>
      <w:bookmarkStart w:id="13" w:name="_Toc130808463"/>
      <w:bookmarkStart w:id="14" w:name="_Toc134525205"/>
      <w:r w:rsidRPr="006E32C1">
        <w:rPr>
          <w:rFonts w:ascii="Arial" w:hAnsi="Arial" w:cs="Arial"/>
          <w:b/>
          <w:bCs/>
          <w:color w:val="auto"/>
          <w:sz w:val="24"/>
          <w:szCs w:val="24"/>
          <w:lang w:val="en-US"/>
        </w:rPr>
        <w:t>Risk Management Culture</w:t>
      </w:r>
      <w:bookmarkEnd w:id="13"/>
      <w:bookmarkEnd w:id="14"/>
    </w:p>
    <w:p w14:paraId="74432103" w14:textId="23BF3906" w:rsidR="00F77DDB" w:rsidRPr="006E32C1" w:rsidRDefault="00AD2889" w:rsidP="007D0EB4">
      <w:pPr>
        <w:pStyle w:val="Heading3"/>
        <w:numPr>
          <w:ilvl w:val="2"/>
          <w:numId w:val="35"/>
        </w:numPr>
        <w:rPr>
          <w:rFonts w:ascii="Arial" w:hAnsi="Arial" w:cs="Arial"/>
          <w:color w:val="auto"/>
          <w:lang w:val="en-US"/>
        </w:rPr>
      </w:pPr>
      <w:bookmarkStart w:id="15" w:name="_Toc134525206"/>
      <w:bookmarkStart w:id="16" w:name="_Toc130808464"/>
      <w:r w:rsidRPr="006E32C1">
        <w:rPr>
          <w:rFonts w:ascii="Arial" w:hAnsi="Arial" w:cs="Arial"/>
          <w:color w:val="auto"/>
          <w:lang w:val="en-US"/>
        </w:rPr>
        <w:t xml:space="preserve">Values, </w:t>
      </w:r>
      <w:r w:rsidR="00BD215E" w:rsidRPr="006E32C1">
        <w:rPr>
          <w:rFonts w:ascii="Arial" w:hAnsi="Arial" w:cs="Arial"/>
          <w:color w:val="auto"/>
          <w:lang w:val="en-US"/>
        </w:rPr>
        <w:t>Behaviors</w:t>
      </w:r>
      <w:r w:rsidRPr="006E32C1">
        <w:rPr>
          <w:rFonts w:ascii="Arial" w:hAnsi="Arial" w:cs="Arial"/>
          <w:color w:val="auto"/>
          <w:lang w:val="en-US"/>
        </w:rPr>
        <w:t>, and Leadership Principles</w:t>
      </w:r>
      <w:bookmarkEnd w:id="15"/>
    </w:p>
    <w:p w14:paraId="5C9B06AB" w14:textId="77777777" w:rsidR="00740C95" w:rsidRPr="00F866F6" w:rsidRDefault="00740C95" w:rsidP="00740C95">
      <w:pPr>
        <w:rPr>
          <w:rFonts w:ascii="Arial" w:hAnsi="Arial" w:cs="Arial"/>
          <w:sz w:val="20"/>
          <w:szCs w:val="20"/>
          <w:lang w:val="en-US" w:eastAsia="en-US"/>
        </w:rPr>
      </w:pPr>
      <w:bookmarkStart w:id="17" w:name="_Toc130808465"/>
      <w:bookmarkEnd w:id="16"/>
      <w:bookmarkEnd w:id="17"/>
      <w:r w:rsidRPr="00F866F6">
        <w:rPr>
          <w:rFonts w:ascii="Arial" w:hAnsi="Arial" w:cs="Arial"/>
          <w:sz w:val="20"/>
          <w:szCs w:val="20"/>
          <w:lang w:val="en-US" w:eastAsia="en-US"/>
        </w:rPr>
        <w:t xml:space="preserve">Citi’s Culture and Values drive a strong risk and control environment and are at the heart of our risk frameworks (ERMF, LE RMFs), underpinning the way Citi conducts business. It consists of the shared attitudes, values and expected behaviors that promote open discussions and decisions in line with Citi’s Strategy, Mission, Value Proposition, Leadership Principles and Risk Appetite.  The Culture and Behavioral Insights Team within Human Resources (“HR”) implements, periodically monitors, and reviews measures and indicators to assess effective embedding of Citi’s culture and values. </w:t>
      </w:r>
    </w:p>
    <w:p w14:paraId="425BBC6A" w14:textId="77777777" w:rsidR="00740C95" w:rsidRPr="00F866F6" w:rsidRDefault="00740C95" w:rsidP="00740C95">
      <w:pPr>
        <w:pStyle w:val="BODYSTYLE"/>
        <w:rPr>
          <w:color w:val="auto"/>
          <w:szCs w:val="20"/>
        </w:rPr>
      </w:pPr>
      <w:r w:rsidRPr="00F866F6">
        <w:rPr>
          <w:color w:val="auto"/>
          <w:szCs w:val="20"/>
        </w:rPr>
        <w:t>In support of this culture, every employee of Citigroup Inc. and its consolidated subsidiaries, including other persons performing services for Citi that may be subject by contract or other agreement, are accountable for risk management and must identify, escalate, and mitigate risk-taking activities that exceed Citi’s risk appetite, in a timely manner.</w:t>
      </w:r>
    </w:p>
    <w:p w14:paraId="50FC06D5" w14:textId="77777777" w:rsidR="002F0099" w:rsidRPr="006E32C1" w:rsidRDefault="002F0099" w:rsidP="00BC5786">
      <w:pPr>
        <w:pStyle w:val="BODYSTYLE"/>
        <w:rPr>
          <w:strike/>
          <w:color w:val="auto"/>
          <w:szCs w:val="20"/>
        </w:rPr>
      </w:pPr>
    </w:p>
    <w:p w14:paraId="338B4E9F" w14:textId="25A25EC0" w:rsidR="00725B4F" w:rsidRPr="006E32C1" w:rsidRDefault="001C7967" w:rsidP="007D0EB4">
      <w:pPr>
        <w:pStyle w:val="Heading2"/>
        <w:numPr>
          <w:ilvl w:val="0"/>
          <w:numId w:val="17"/>
        </w:numPr>
        <w:ind w:left="540" w:hanging="540"/>
        <w:rPr>
          <w:rFonts w:ascii="Arial" w:hAnsi="Arial" w:cs="Arial"/>
          <w:b/>
          <w:bCs/>
          <w:color w:val="auto"/>
          <w:sz w:val="24"/>
          <w:szCs w:val="24"/>
          <w:lang w:val="en-US"/>
        </w:rPr>
      </w:pPr>
      <w:bookmarkStart w:id="18" w:name="_Toc80352370"/>
      <w:bookmarkStart w:id="19" w:name="_Toc80352371"/>
      <w:bookmarkStart w:id="20" w:name="_Toc80352372"/>
      <w:bookmarkStart w:id="21" w:name="_Toc80352373"/>
      <w:bookmarkStart w:id="22" w:name="_Toc80352374"/>
      <w:bookmarkStart w:id="23" w:name="_Toc80352375"/>
      <w:bookmarkStart w:id="24" w:name="_Toc80352376"/>
      <w:bookmarkStart w:id="25" w:name="_Toc130808466"/>
      <w:bookmarkStart w:id="26" w:name="_Toc104362118"/>
      <w:bookmarkStart w:id="27" w:name="_Toc134525207"/>
      <w:bookmarkEnd w:id="18"/>
      <w:bookmarkEnd w:id="19"/>
      <w:bookmarkEnd w:id="20"/>
      <w:bookmarkEnd w:id="21"/>
      <w:bookmarkEnd w:id="22"/>
      <w:bookmarkEnd w:id="23"/>
      <w:bookmarkEnd w:id="24"/>
      <w:r w:rsidRPr="006E32C1">
        <w:rPr>
          <w:rFonts w:ascii="Arial" w:hAnsi="Arial" w:cs="Arial"/>
          <w:b/>
          <w:bCs/>
          <w:color w:val="auto"/>
          <w:sz w:val="24"/>
          <w:szCs w:val="24"/>
          <w:lang w:val="en-US"/>
        </w:rPr>
        <w:t>Governance</w:t>
      </w:r>
      <w:bookmarkEnd w:id="25"/>
      <w:bookmarkEnd w:id="26"/>
      <w:bookmarkEnd w:id="27"/>
    </w:p>
    <w:p w14:paraId="5ECF81A6" w14:textId="59F2CFD6" w:rsidR="00B37DBD" w:rsidRPr="006E32C1" w:rsidRDefault="005B61B0" w:rsidP="007D0EB4">
      <w:pPr>
        <w:pStyle w:val="Heading3"/>
        <w:numPr>
          <w:ilvl w:val="2"/>
          <w:numId w:val="18"/>
        </w:numPr>
        <w:ind w:left="720"/>
        <w:rPr>
          <w:rFonts w:ascii="Arial" w:hAnsi="Arial" w:cs="Arial"/>
          <w:color w:val="auto"/>
          <w:lang w:val="en-US"/>
        </w:rPr>
      </w:pPr>
      <w:bookmarkStart w:id="28" w:name="_Toc104362119"/>
      <w:bookmarkStart w:id="29" w:name="_Toc130808467"/>
      <w:bookmarkStart w:id="30" w:name="_Toc134525208"/>
      <w:r w:rsidRPr="006E32C1">
        <w:rPr>
          <w:rFonts w:ascii="Arial" w:hAnsi="Arial" w:cs="Arial"/>
          <w:color w:val="auto"/>
          <w:lang w:val="en-US"/>
        </w:rPr>
        <w:t>Citibank Uganda Limited</w:t>
      </w:r>
      <w:r w:rsidR="00FF2CBE" w:rsidRPr="006E32C1">
        <w:rPr>
          <w:rFonts w:ascii="Arial" w:hAnsi="Arial" w:cs="Arial"/>
          <w:color w:val="auto"/>
          <w:lang w:val="en-US"/>
        </w:rPr>
        <w:t xml:space="preserve"> </w:t>
      </w:r>
      <w:r w:rsidR="0025610A" w:rsidRPr="006E32C1">
        <w:rPr>
          <w:rFonts w:ascii="Arial" w:hAnsi="Arial" w:cs="Arial"/>
          <w:color w:val="auto"/>
          <w:lang w:val="en-US"/>
        </w:rPr>
        <w:t>Oversight</w:t>
      </w:r>
      <w:bookmarkEnd w:id="28"/>
      <w:bookmarkEnd w:id="29"/>
      <w:bookmarkEnd w:id="30"/>
    </w:p>
    <w:p w14:paraId="28106811" w14:textId="77777777" w:rsidR="0066011E" w:rsidRPr="00F866F6" w:rsidRDefault="0066011E" w:rsidP="0066011E">
      <w:pPr>
        <w:rPr>
          <w:rFonts w:ascii="Arial" w:hAnsi="Arial" w:cs="Arial"/>
          <w:sz w:val="20"/>
          <w:szCs w:val="20"/>
        </w:rPr>
      </w:pPr>
      <w:bookmarkStart w:id="31" w:name="_Toc104362120"/>
      <w:bookmarkStart w:id="32" w:name="_Toc130808468"/>
      <w:bookmarkStart w:id="33" w:name="_Toc134525209"/>
      <w:r w:rsidRPr="00F866F6">
        <w:rPr>
          <w:rFonts w:ascii="Arial" w:hAnsi="Arial" w:cs="Arial"/>
          <w:sz w:val="20"/>
          <w:szCs w:val="20"/>
        </w:rPr>
        <w:t>The Citibank Uganda Limited is a Citi Subsidiary operating in Uganda. The Citibank Uganda Limited Board of Directors has the ultimate responsibility of ensuring that a risk management framework is in place at Citibank Uganda Limited. Citibank Uganda Limited’s overarching governance structure is presented below:</w:t>
      </w:r>
    </w:p>
    <w:p w14:paraId="18750AFC" w14:textId="77777777" w:rsidR="0066011E" w:rsidRPr="00F866F6" w:rsidRDefault="0066011E" w:rsidP="0066011E">
      <w:pPr>
        <w:rPr>
          <w:rFonts w:ascii="Arial" w:hAnsi="Arial" w:cs="Arial"/>
          <w:sz w:val="20"/>
          <w:szCs w:val="20"/>
        </w:rPr>
      </w:pPr>
    </w:p>
    <w:p w14:paraId="5D333695" w14:textId="77777777" w:rsidR="0066011E" w:rsidRPr="00F866F6" w:rsidRDefault="0066011E" w:rsidP="0066011E">
      <w:pPr>
        <w:rPr>
          <w:rFonts w:ascii="Arial" w:hAnsi="Arial" w:cs="Arial"/>
          <w:sz w:val="20"/>
          <w:szCs w:val="20"/>
        </w:rPr>
      </w:pPr>
    </w:p>
    <w:p w14:paraId="10C1C9D6" w14:textId="77777777" w:rsidR="0066011E" w:rsidRDefault="0066011E" w:rsidP="0066011E">
      <w:pPr>
        <w:rPr>
          <w:rFonts w:ascii="Arial" w:hAnsi="Arial" w:cs="Arial"/>
          <w:sz w:val="20"/>
          <w:szCs w:val="20"/>
        </w:rPr>
      </w:pPr>
    </w:p>
    <w:p w14:paraId="7568CE7C" w14:textId="77777777" w:rsidR="0066011E" w:rsidRDefault="0066011E" w:rsidP="0066011E">
      <w:pPr>
        <w:rPr>
          <w:rFonts w:ascii="Arial" w:hAnsi="Arial" w:cs="Arial"/>
          <w:sz w:val="20"/>
          <w:szCs w:val="20"/>
        </w:rPr>
      </w:pPr>
    </w:p>
    <w:p w14:paraId="2AAA8F3E" w14:textId="77777777" w:rsidR="00463770" w:rsidRPr="00463770" w:rsidRDefault="0066011E" w:rsidP="00463770">
      <w:pPr>
        <w:pStyle w:val="Heading3"/>
        <w:ind w:left="360"/>
        <w:rPr>
          <w:rFonts w:ascii="Arial" w:hAnsi="Arial" w:cs="Arial"/>
          <w:color w:val="000000" w:themeColor="text1"/>
          <w:lang w:val="en-US"/>
        </w:rPr>
      </w:pPr>
      <w:r>
        <w:object w:dxaOrig="17131" w:dyaOrig="16516" w14:anchorId="01475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76.15pt;height:459.15pt" o:ole="">
            <v:imagedata r:id="rId15" o:title=""/>
          </v:shape>
          <o:OLEObject Type="Embed" ProgID="Visio.Drawing.15" ShapeID="_x0000_i1031" DrawAspect="Content" ObjectID="_1798383778" r:id="rId16"/>
        </w:object>
      </w:r>
    </w:p>
    <w:p w14:paraId="57BC1198" w14:textId="77777777" w:rsidR="00463770" w:rsidRPr="00463770" w:rsidRDefault="00463770" w:rsidP="00463770">
      <w:pPr>
        <w:pStyle w:val="Heading3"/>
        <w:rPr>
          <w:rFonts w:ascii="Arial" w:hAnsi="Arial" w:cs="Arial"/>
          <w:color w:val="000000" w:themeColor="text1"/>
          <w:lang w:val="en-US"/>
        </w:rPr>
      </w:pPr>
    </w:p>
    <w:p w14:paraId="76B2AE8D" w14:textId="6FC79C17" w:rsidR="00F80D6B" w:rsidRPr="006E32C1" w:rsidRDefault="005B61B0" w:rsidP="007D0EB4">
      <w:pPr>
        <w:pStyle w:val="Heading3"/>
        <w:numPr>
          <w:ilvl w:val="2"/>
          <w:numId w:val="18"/>
        </w:numPr>
        <w:ind w:left="720"/>
        <w:rPr>
          <w:rFonts w:ascii="Arial" w:hAnsi="Arial" w:cs="Arial"/>
          <w:color w:val="000000" w:themeColor="text1"/>
          <w:lang w:val="en-US"/>
        </w:rPr>
      </w:pPr>
      <w:r w:rsidRPr="006E32C1">
        <w:rPr>
          <w:rFonts w:ascii="Arial" w:hAnsi="Arial" w:cs="Arial"/>
          <w:color w:val="000000" w:themeColor="text1"/>
          <w:lang w:val="en-US"/>
        </w:rPr>
        <w:t>Citibank Uganda Limited</w:t>
      </w:r>
      <w:r w:rsidR="00F80D6B" w:rsidRPr="006E32C1">
        <w:rPr>
          <w:rFonts w:ascii="Arial" w:hAnsi="Arial" w:cs="Arial"/>
          <w:color w:val="000000" w:themeColor="text1"/>
          <w:lang w:val="en-US"/>
        </w:rPr>
        <w:t xml:space="preserve"> Delegated Authority</w:t>
      </w:r>
      <w:bookmarkEnd w:id="32"/>
      <w:bookmarkEnd w:id="33"/>
    </w:p>
    <w:bookmarkEnd w:id="31"/>
    <w:p w14:paraId="3657D64E" w14:textId="77777777" w:rsidR="00E70C1F" w:rsidRPr="00F866F6" w:rsidRDefault="00E70C1F" w:rsidP="00E70C1F">
      <w:pPr>
        <w:rPr>
          <w:rFonts w:ascii="Arial" w:hAnsi="Arial" w:cs="Arial"/>
          <w:sz w:val="20"/>
          <w:szCs w:val="20"/>
        </w:rPr>
      </w:pPr>
      <w:r w:rsidRPr="00F866F6">
        <w:rPr>
          <w:rFonts w:ascii="Arial" w:hAnsi="Arial" w:cs="Arial"/>
          <w:sz w:val="20"/>
          <w:szCs w:val="20"/>
        </w:rPr>
        <w:t>The Board of Directors approves the Strategic Plan, and the outcome of the Risk Inventory Identification &amp; Assessment process annually and sets the overall level of risk appetite in pursuit of Citibank Uganda Limited Strategy. This is outlined in the Citibank Uganda Limited’s RAS (Risk Appetite Statement) and reflected in risk policies and standards. The Board reviews and approves the overall approach to risk governance as set out in this Framework document.</w:t>
      </w:r>
    </w:p>
    <w:p w14:paraId="62C52CAD" w14:textId="77777777" w:rsidR="00E70C1F" w:rsidRPr="00F866F6" w:rsidRDefault="00E70C1F" w:rsidP="00E70C1F">
      <w:pPr>
        <w:rPr>
          <w:rFonts w:ascii="Arial" w:hAnsi="Arial" w:cs="Arial"/>
          <w:sz w:val="20"/>
          <w:szCs w:val="20"/>
        </w:rPr>
      </w:pPr>
      <w:r w:rsidRPr="00F866F6">
        <w:rPr>
          <w:rFonts w:ascii="Arial" w:hAnsi="Arial" w:cs="Arial"/>
          <w:sz w:val="20"/>
          <w:szCs w:val="20"/>
        </w:rPr>
        <w:t>The Board is responsible for the oversight and approval of Citibank Uganda Limited risk policies and compliance of these policies with Citigroup Standards and local regulatory requirements.</w:t>
      </w:r>
    </w:p>
    <w:p w14:paraId="414FC77B" w14:textId="77777777" w:rsidR="00E70C1F" w:rsidRPr="00F866F6" w:rsidRDefault="00E70C1F" w:rsidP="00E70C1F">
      <w:pPr>
        <w:rPr>
          <w:rFonts w:ascii="Arial" w:hAnsi="Arial" w:cs="Arial"/>
          <w:sz w:val="20"/>
          <w:szCs w:val="20"/>
        </w:rPr>
      </w:pPr>
      <w:r w:rsidRPr="00F866F6">
        <w:rPr>
          <w:rFonts w:ascii="Arial" w:hAnsi="Arial" w:cs="Arial"/>
          <w:sz w:val="20"/>
          <w:szCs w:val="20"/>
        </w:rPr>
        <w:t>The Board meets regularly and is given the opportunity to review reports prepared by the business, Independent Risk Management, ICRM, Internal Audit, and others, and exercise sound independent judgment to question and challenge recommendations and decisions made by management.</w:t>
      </w:r>
    </w:p>
    <w:p w14:paraId="2CA4A356" w14:textId="77777777" w:rsidR="00E70C1F" w:rsidRPr="00F866F6" w:rsidRDefault="00E70C1F" w:rsidP="00E70C1F">
      <w:pPr>
        <w:autoSpaceDE w:val="0"/>
        <w:autoSpaceDN w:val="0"/>
        <w:adjustRightInd w:val="0"/>
        <w:spacing w:before="0" w:after="0"/>
        <w:rPr>
          <w:rFonts w:ascii="Arial" w:eastAsiaTheme="minorHAnsi" w:hAnsi="Arial" w:cs="Arial"/>
          <w:sz w:val="20"/>
          <w:szCs w:val="20"/>
          <w:lang w:val="en-US" w:eastAsia="en-US"/>
        </w:rPr>
      </w:pPr>
    </w:p>
    <w:p w14:paraId="431AD210" w14:textId="77777777" w:rsidR="00E70C1F" w:rsidRPr="00F866F6" w:rsidRDefault="00E70C1F" w:rsidP="007D0EB4">
      <w:pPr>
        <w:pStyle w:val="ListParagraph"/>
        <w:keepNext/>
        <w:keepLines/>
        <w:numPr>
          <w:ilvl w:val="0"/>
          <w:numId w:val="19"/>
        </w:numPr>
        <w:spacing w:before="40" w:after="0"/>
        <w:contextualSpacing w:val="0"/>
        <w:outlineLvl w:val="3"/>
        <w:rPr>
          <w:rFonts w:ascii="Arial" w:eastAsiaTheme="majorEastAsia" w:hAnsi="Arial" w:cs="Arial"/>
          <w:vanish/>
        </w:rPr>
      </w:pPr>
      <w:commentRangeStart w:id="34"/>
    </w:p>
    <w:p w14:paraId="76F99603" w14:textId="77777777" w:rsidR="00E70C1F" w:rsidRPr="00F866F6" w:rsidRDefault="00E70C1F" w:rsidP="007D0EB4">
      <w:pPr>
        <w:pStyle w:val="ListParagraph"/>
        <w:keepNext/>
        <w:keepLines/>
        <w:numPr>
          <w:ilvl w:val="0"/>
          <w:numId w:val="19"/>
        </w:numPr>
        <w:spacing w:before="40" w:after="0"/>
        <w:contextualSpacing w:val="0"/>
        <w:outlineLvl w:val="3"/>
        <w:rPr>
          <w:rFonts w:ascii="Arial" w:eastAsiaTheme="majorEastAsia" w:hAnsi="Arial" w:cs="Arial"/>
          <w:vanish/>
        </w:rPr>
      </w:pPr>
    </w:p>
    <w:p w14:paraId="5FFCE800" w14:textId="77777777" w:rsidR="00E70C1F" w:rsidRPr="00F866F6" w:rsidRDefault="00E70C1F" w:rsidP="007D0EB4">
      <w:pPr>
        <w:pStyle w:val="ListParagraph"/>
        <w:keepNext/>
        <w:keepLines/>
        <w:numPr>
          <w:ilvl w:val="1"/>
          <w:numId w:val="19"/>
        </w:numPr>
        <w:spacing w:before="40" w:after="0"/>
        <w:contextualSpacing w:val="0"/>
        <w:outlineLvl w:val="3"/>
        <w:rPr>
          <w:rFonts w:ascii="Arial" w:eastAsiaTheme="majorEastAsia" w:hAnsi="Arial" w:cs="Arial"/>
          <w:vanish/>
        </w:rPr>
      </w:pPr>
    </w:p>
    <w:p w14:paraId="045D2C09" w14:textId="77777777" w:rsidR="00E70C1F" w:rsidRPr="00F866F6" w:rsidRDefault="00E70C1F" w:rsidP="007D0EB4">
      <w:pPr>
        <w:pStyle w:val="ListParagraph"/>
        <w:keepNext/>
        <w:keepLines/>
        <w:numPr>
          <w:ilvl w:val="1"/>
          <w:numId w:val="19"/>
        </w:numPr>
        <w:spacing w:before="40" w:after="0"/>
        <w:contextualSpacing w:val="0"/>
        <w:outlineLvl w:val="3"/>
        <w:rPr>
          <w:rFonts w:ascii="Arial" w:eastAsiaTheme="majorEastAsia" w:hAnsi="Arial" w:cs="Arial"/>
          <w:vanish/>
        </w:rPr>
      </w:pPr>
    </w:p>
    <w:commentRangeEnd w:id="34"/>
    <w:p w14:paraId="056EF531" w14:textId="77777777" w:rsidR="00E70C1F" w:rsidRPr="00F866F6" w:rsidRDefault="00E70C1F" w:rsidP="007D0EB4">
      <w:pPr>
        <w:pStyle w:val="ListParagraph"/>
        <w:keepNext/>
        <w:keepLines/>
        <w:numPr>
          <w:ilvl w:val="1"/>
          <w:numId w:val="19"/>
        </w:numPr>
        <w:spacing w:before="40" w:after="0"/>
        <w:contextualSpacing w:val="0"/>
        <w:outlineLvl w:val="3"/>
        <w:rPr>
          <w:rFonts w:ascii="Arial" w:eastAsiaTheme="majorEastAsia" w:hAnsi="Arial" w:cs="Arial"/>
          <w:vanish/>
        </w:rPr>
      </w:pPr>
      <w:r>
        <w:rPr>
          <w:rStyle w:val="CommentReference"/>
        </w:rPr>
        <w:commentReference w:id="34"/>
      </w:r>
    </w:p>
    <w:p w14:paraId="0CC11AD1" w14:textId="77777777" w:rsidR="00E70C1F" w:rsidRPr="00F866F6" w:rsidRDefault="00E70C1F" w:rsidP="007D0EB4">
      <w:pPr>
        <w:pStyle w:val="ListParagraph"/>
        <w:keepNext/>
        <w:keepLines/>
        <w:numPr>
          <w:ilvl w:val="2"/>
          <w:numId w:val="19"/>
        </w:numPr>
        <w:spacing w:before="40" w:after="0"/>
        <w:contextualSpacing w:val="0"/>
        <w:outlineLvl w:val="3"/>
        <w:rPr>
          <w:rFonts w:ascii="Arial" w:eastAsiaTheme="majorEastAsia" w:hAnsi="Arial" w:cs="Arial"/>
          <w:vanish/>
        </w:rPr>
      </w:pPr>
    </w:p>
    <w:p w14:paraId="672E7860" w14:textId="77777777" w:rsidR="00E70C1F" w:rsidRPr="00F866F6" w:rsidRDefault="00E70C1F" w:rsidP="007D0EB4">
      <w:pPr>
        <w:pStyle w:val="ListParagraph"/>
        <w:keepNext/>
        <w:keepLines/>
        <w:numPr>
          <w:ilvl w:val="2"/>
          <w:numId w:val="19"/>
        </w:numPr>
        <w:spacing w:before="40" w:after="0"/>
        <w:contextualSpacing w:val="0"/>
        <w:outlineLvl w:val="3"/>
        <w:rPr>
          <w:rFonts w:ascii="Arial" w:eastAsiaTheme="majorEastAsia" w:hAnsi="Arial" w:cs="Arial"/>
          <w:vanish/>
        </w:rPr>
      </w:pPr>
    </w:p>
    <w:p w14:paraId="7CCCDA68" w14:textId="77777777" w:rsidR="00E70C1F" w:rsidRPr="00F866F6" w:rsidRDefault="00E70C1F" w:rsidP="007D0EB4">
      <w:pPr>
        <w:pStyle w:val="Heading4"/>
        <w:numPr>
          <w:ilvl w:val="3"/>
          <w:numId w:val="18"/>
        </w:numPr>
        <w:ind w:hanging="834"/>
        <w:rPr>
          <w:rFonts w:ascii="Arial" w:hAnsi="Arial" w:cs="Arial"/>
          <w:color w:val="auto"/>
        </w:rPr>
      </w:pPr>
      <w:r w:rsidRPr="00F866F6">
        <w:rPr>
          <w:rFonts w:ascii="Arial" w:hAnsi="Arial" w:cs="Arial"/>
          <w:i w:val="0"/>
          <w:iCs w:val="0"/>
          <w:color w:val="auto"/>
        </w:rPr>
        <w:t>Board of Directors</w:t>
      </w:r>
    </w:p>
    <w:p w14:paraId="59E3B853" w14:textId="77777777" w:rsidR="00E70C1F" w:rsidRPr="00F866F6" w:rsidRDefault="00E70C1F" w:rsidP="00E70C1F">
      <w:pPr>
        <w:ind w:left="426"/>
        <w:rPr>
          <w:rFonts w:ascii="Arial" w:hAnsi="Arial" w:cs="Arial"/>
          <w:sz w:val="20"/>
          <w:szCs w:val="20"/>
        </w:rPr>
      </w:pPr>
      <w:r w:rsidRPr="00F866F6">
        <w:rPr>
          <w:rFonts w:ascii="Arial" w:hAnsi="Arial" w:cs="Arial"/>
          <w:sz w:val="20"/>
          <w:szCs w:val="20"/>
        </w:rPr>
        <w:t>The Citibank Uganda Limited Board of Directors is the decision-making body that reviews, on a quarterly basis, the business of Citibank Uganda Limited is carried in compliance with all applicable laws and regulations in Uganda with appropriate oversight by senior management. In carrying out its regular duties, the Board is supported by the following committees:</w:t>
      </w:r>
    </w:p>
    <w:p w14:paraId="10231B67" w14:textId="77777777" w:rsidR="00E70C1F" w:rsidRPr="00F866F6" w:rsidRDefault="00E70C1F" w:rsidP="00E70C1F">
      <w:pPr>
        <w:autoSpaceDE w:val="0"/>
        <w:autoSpaceDN w:val="0"/>
        <w:adjustRightInd w:val="0"/>
        <w:spacing w:before="0" w:after="0"/>
        <w:rPr>
          <w:rFonts w:ascii="Arial" w:eastAsiaTheme="minorHAnsi" w:hAnsi="Arial" w:cs="Arial"/>
          <w:sz w:val="20"/>
          <w:szCs w:val="20"/>
          <w:lang w:val="en-US" w:eastAsia="en-US"/>
        </w:rPr>
      </w:pPr>
    </w:p>
    <w:p w14:paraId="2DDEEA54" w14:textId="77777777" w:rsidR="00E70C1F" w:rsidRPr="00F866F6" w:rsidRDefault="00E70C1F" w:rsidP="007D0EB4">
      <w:pPr>
        <w:pStyle w:val="Heading4"/>
        <w:numPr>
          <w:ilvl w:val="3"/>
          <w:numId w:val="18"/>
        </w:numPr>
        <w:ind w:left="720" w:hanging="294"/>
        <w:rPr>
          <w:rFonts w:ascii="Arial" w:hAnsi="Arial" w:cs="Arial"/>
          <w:color w:val="auto"/>
        </w:rPr>
      </w:pPr>
      <w:r w:rsidRPr="00F866F6">
        <w:rPr>
          <w:rFonts w:ascii="Arial" w:hAnsi="Arial" w:cs="Arial"/>
          <w:i w:val="0"/>
          <w:iCs w:val="0"/>
          <w:color w:val="auto"/>
        </w:rPr>
        <w:t>Board Audit Committee</w:t>
      </w:r>
    </w:p>
    <w:p w14:paraId="5BD05CEC" w14:textId="77777777" w:rsidR="00E70C1F" w:rsidRPr="00F866F6" w:rsidRDefault="00E70C1F" w:rsidP="00E70C1F">
      <w:pPr>
        <w:ind w:left="426"/>
        <w:rPr>
          <w:rFonts w:ascii="Arial" w:hAnsi="Arial" w:cs="Arial"/>
          <w:sz w:val="20"/>
          <w:szCs w:val="20"/>
        </w:rPr>
      </w:pPr>
      <w:r w:rsidRPr="00F866F6">
        <w:rPr>
          <w:rFonts w:ascii="Arial" w:hAnsi="Arial" w:cs="Arial"/>
          <w:sz w:val="20"/>
          <w:szCs w:val="20"/>
        </w:rPr>
        <w:t>Citibank Uganda Limited Audit Committee oversees (</w:t>
      </w:r>
      <w:proofErr w:type="spellStart"/>
      <w:r w:rsidRPr="00F866F6">
        <w:rPr>
          <w:rFonts w:ascii="Arial" w:hAnsi="Arial" w:cs="Arial"/>
          <w:sz w:val="20"/>
          <w:szCs w:val="20"/>
        </w:rPr>
        <w:t>i</w:t>
      </w:r>
      <w:proofErr w:type="spellEnd"/>
      <w:r w:rsidRPr="00F866F6">
        <w:rPr>
          <w:rFonts w:ascii="Arial" w:hAnsi="Arial" w:cs="Arial"/>
          <w:sz w:val="20"/>
          <w:szCs w:val="20"/>
        </w:rPr>
        <w:t>) the integrity of  financial statements and financial reporting process and systems of internal accounting and financial controls; (ii) the performance of Internal Audit (iii) providing any concerns or recommendations to the Citigroup Audit Committee regarding the annual independent integrated audit of  financial statements and effectiveness of internal control over financial reporting, the engagement of the independent registered public accounting firm and the evaluation of the Independent Auditors’ qualifications, independence and performance, where feasible for the local team; (iv) policy standards and guidelines for risk assessment and risk management; (v) the compliance by Citibank Uganda Limited with local legal and regulatory requirements, including disclosure controls and procedures</w:t>
      </w:r>
    </w:p>
    <w:p w14:paraId="6389C3B7" w14:textId="77777777" w:rsidR="00E70C1F" w:rsidRPr="00F866F6" w:rsidRDefault="00E70C1F" w:rsidP="00E70C1F">
      <w:pPr>
        <w:autoSpaceDE w:val="0"/>
        <w:autoSpaceDN w:val="0"/>
        <w:adjustRightInd w:val="0"/>
        <w:spacing w:before="0" w:after="0"/>
        <w:rPr>
          <w:rFonts w:ascii="Arial" w:eastAsiaTheme="minorHAnsi" w:hAnsi="Arial" w:cs="Arial"/>
          <w:sz w:val="20"/>
          <w:szCs w:val="20"/>
          <w:lang w:val="en-US" w:eastAsia="en-US"/>
        </w:rPr>
      </w:pPr>
    </w:p>
    <w:p w14:paraId="37263898" w14:textId="77777777" w:rsidR="00E70C1F" w:rsidRPr="00F866F6" w:rsidRDefault="00E70C1F" w:rsidP="007D0EB4">
      <w:pPr>
        <w:pStyle w:val="Heading4"/>
        <w:numPr>
          <w:ilvl w:val="3"/>
          <w:numId w:val="18"/>
        </w:numPr>
        <w:ind w:left="720" w:hanging="294"/>
        <w:rPr>
          <w:rFonts w:ascii="Arial" w:hAnsi="Arial" w:cs="Arial"/>
          <w:color w:val="auto"/>
        </w:rPr>
      </w:pPr>
      <w:r w:rsidRPr="00F866F6">
        <w:rPr>
          <w:rFonts w:ascii="Arial" w:hAnsi="Arial" w:cs="Arial"/>
          <w:i w:val="0"/>
          <w:iCs w:val="0"/>
          <w:color w:val="auto"/>
        </w:rPr>
        <w:t>Board Risk Committee</w:t>
      </w:r>
    </w:p>
    <w:p w14:paraId="5055F563" w14:textId="77777777" w:rsidR="00E70C1F" w:rsidRPr="00F866F6" w:rsidRDefault="00E70C1F" w:rsidP="00E70C1F">
      <w:pPr>
        <w:ind w:left="426"/>
        <w:rPr>
          <w:rFonts w:ascii="Arial" w:hAnsi="Arial" w:cs="Arial"/>
          <w:sz w:val="20"/>
          <w:szCs w:val="20"/>
        </w:rPr>
      </w:pPr>
      <w:r w:rsidRPr="00F866F6">
        <w:rPr>
          <w:rFonts w:ascii="Arial" w:hAnsi="Arial" w:cs="Arial"/>
          <w:sz w:val="20"/>
          <w:szCs w:val="20"/>
        </w:rPr>
        <w:t>Citibank Uganda Limited has a Board Risk Committee established to provide oversight of risks of the institution. The Committee meets at least quarterly.</w:t>
      </w:r>
    </w:p>
    <w:p w14:paraId="0CB3AC76" w14:textId="77777777" w:rsidR="00E70C1F" w:rsidRPr="00F866F6" w:rsidRDefault="00E70C1F" w:rsidP="00E70C1F">
      <w:pPr>
        <w:ind w:left="426"/>
        <w:rPr>
          <w:rFonts w:ascii="Arial" w:hAnsi="Arial" w:cs="Arial"/>
          <w:sz w:val="20"/>
          <w:szCs w:val="20"/>
        </w:rPr>
      </w:pPr>
      <w:r w:rsidRPr="00F866F6">
        <w:rPr>
          <w:rFonts w:ascii="Arial" w:hAnsi="Arial" w:cs="Arial"/>
          <w:sz w:val="20"/>
          <w:szCs w:val="20"/>
        </w:rPr>
        <w:t>The Risk Committee is responsible for:</w:t>
      </w:r>
    </w:p>
    <w:p w14:paraId="63EBE802" w14:textId="77777777" w:rsidR="00E70C1F" w:rsidRPr="00F866F6" w:rsidRDefault="00E70C1F" w:rsidP="007D0EB4">
      <w:pPr>
        <w:pStyle w:val="ListParagraph"/>
        <w:numPr>
          <w:ilvl w:val="0"/>
          <w:numId w:val="40"/>
        </w:numPr>
        <w:ind w:hanging="294"/>
        <w:rPr>
          <w:rFonts w:ascii="Arial" w:hAnsi="Arial" w:cs="Arial"/>
          <w:sz w:val="20"/>
          <w:szCs w:val="20"/>
        </w:rPr>
      </w:pPr>
      <w:r w:rsidRPr="00F866F6">
        <w:rPr>
          <w:rFonts w:ascii="Arial" w:hAnsi="Arial" w:cs="Arial"/>
          <w:sz w:val="20"/>
          <w:szCs w:val="20"/>
        </w:rPr>
        <w:t>Informing the Board of the status of risk exposures and risk management processes in the Bank</w:t>
      </w:r>
    </w:p>
    <w:p w14:paraId="6C3076F5" w14:textId="77777777" w:rsidR="00E70C1F" w:rsidRPr="00F866F6" w:rsidRDefault="00E70C1F" w:rsidP="007D0EB4">
      <w:pPr>
        <w:pStyle w:val="ListParagraph"/>
        <w:numPr>
          <w:ilvl w:val="0"/>
          <w:numId w:val="40"/>
        </w:numPr>
        <w:ind w:hanging="294"/>
        <w:rPr>
          <w:rFonts w:ascii="Arial" w:hAnsi="Arial" w:cs="Arial"/>
          <w:sz w:val="20"/>
          <w:szCs w:val="20"/>
        </w:rPr>
      </w:pPr>
      <w:r w:rsidRPr="00F866F6">
        <w:rPr>
          <w:rFonts w:ascii="Arial" w:hAnsi="Arial" w:cs="Arial"/>
          <w:sz w:val="20"/>
          <w:szCs w:val="20"/>
        </w:rPr>
        <w:t>Reviewing the Risk appetite processes, Risk Limits (Market risk, Credit risk, Operational risk, Compliance risk, Liquidity risk and Strategic risk) breaches and management corrective action plans to mitigate the breaches.</w:t>
      </w:r>
    </w:p>
    <w:p w14:paraId="1A5073DE" w14:textId="77777777" w:rsidR="00E70C1F" w:rsidRPr="00F866F6" w:rsidRDefault="00E70C1F" w:rsidP="007D0EB4">
      <w:pPr>
        <w:pStyle w:val="ListParagraph"/>
        <w:numPr>
          <w:ilvl w:val="0"/>
          <w:numId w:val="40"/>
        </w:numPr>
        <w:ind w:hanging="294"/>
        <w:rPr>
          <w:rFonts w:ascii="Arial" w:hAnsi="Arial" w:cs="Arial"/>
          <w:sz w:val="20"/>
          <w:szCs w:val="20"/>
        </w:rPr>
      </w:pPr>
      <w:r w:rsidRPr="00F866F6">
        <w:rPr>
          <w:rFonts w:ascii="Arial" w:hAnsi="Arial" w:cs="Arial"/>
          <w:sz w:val="20"/>
          <w:szCs w:val="20"/>
        </w:rPr>
        <w:t>Obtaining information on ongoing regulatory reviews/ potential/ actual issues</w:t>
      </w:r>
    </w:p>
    <w:p w14:paraId="1B79BDA1" w14:textId="77777777" w:rsidR="00E70C1F" w:rsidRPr="00F866F6" w:rsidRDefault="00E70C1F" w:rsidP="007D0EB4">
      <w:pPr>
        <w:pStyle w:val="ListParagraph"/>
        <w:numPr>
          <w:ilvl w:val="0"/>
          <w:numId w:val="40"/>
        </w:numPr>
        <w:ind w:hanging="294"/>
        <w:rPr>
          <w:rFonts w:ascii="Arial" w:hAnsi="Arial" w:cs="Arial"/>
          <w:sz w:val="20"/>
          <w:szCs w:val="20"/>
        </w:rPr>
      </w:pPr>
      <w:r w:rsidRPr="00F866F6">
        <w:rPr>
          <w:rFonts w:ascii="Arial" w:hAnsi="Arial" w:cs="Arial"/>
          <w:sz w:val="20"/>
          <w:szCs w:val="20"/>
        </w:rPr>
        <w:t>Considering significant operational risk events, losses, near misses and ethics cases</w:t>
      </w:r>
    </w:p>
    <w:p w14:paraId="286C82E3" w14:textId="77777777" w:rsidR="00E70C1F" w:rsidRPr="00F866F6" w:rsidRDefault="00E70C1F" w:rsidP="007D0EB4">
      <w:pPr>
        <w:pStyle w:val="ListParagraph"/>
        <w:numPr>
          <w:ilvl w:val="0"/>
          <w:numId w:val="40"/>
        </w:numPr>
        <w:ind w:hanging="294"/>
        <w:rPr>
          <w:rFonts w:ascii="Arial" w:hAnsi="Arial" w:cs="Arial"/>
          <w:sz w:val="20"/>
          <w:szCs w:val="20"/>
        </w:rPr>
      </w:pPr>
      <w:r w:rsidRPr="00F866F6">
        <w:rPr>
          <w:rFonts w:ascii="Arial" w:hAnsi="Arial" w:cs="Arial"/>
          <w:sz w:val="20"/>
          <w:szCs w:val="20"/>
        </w:rPr>
        <w:t xml:space="preserve">Review and recommend for Board approval any risk strategies, policies, </w:t>
      </w:r>
      <w:proofErr w:type="gramStart"/>
      <w:r w:rsidRPr="00F866F6">
        <w:rPr>
          <w:rFonts w:ascii="Arial" w:hAnsi="Arial" w:cs="Arial"/>
          <w:sz w:val="20"/>
          <w:szCs w:val="20"/>
        </w:rPr>
        <w:t>procedures</w:t>
      </w:r>
      <w:proofErr w:type="gramEnd"/>
      <w:r w:rsidRPr="00F866F6">
        <w:rPr>
          <w:rFonts w:ascii="Arial" w:hAnsi="Arial" w:cs="Arial"/>
          <w:sz w:val="20"/>
          <w:szCs w:val="20"/>
        </w:rPr>
        <w:t xml:space="preserve"> and any revisions.</w:t>
      </w:r>
    </w:p>
    <w:p w14:paraId="65E5F72F" w14:textId="77777777" w:rsidR="00E70C1F" w:rsidRPr="00F866F6" w:rsidRDefault="00E70C1F" w:rsidP="007D0EB4">
      <w:pPr>
        <w:pStyle w:val="ListParagraph"/>
        <w:numPr>
          <w:ilvl w:val="0"/>
          <w:numId w:val="40"/>
        </w:numPr>
        <w:ind w:hanging="294"/>
        <w:rPr>
          <w:rFonts w:ascii="Arial" w:hAnsi="Arial" w:cs="Arial"/>
          <w:sz w:val="20"/>
          <w:szCs w:val="20"/>
        </w:rPr>
      </w:pPr>
      <w:r w:rsidRPr="00F866F6">
        <w:rPr>
          <w:rFonts w:ascii="Arial" w:hAnsi="Arial" w:cs="Arial"/>
          <w:sz w:val="20"/>
          <w:szCs w:val="20"/>
        </w:rPr>
        <w:t>Overseeing the implementation and track progress of risk strategies and policies &amp; procedures by senior management, in support of the financial institution’s business activities</w:t>
      </w:r>
    </w:p>
    <w:p w14:paraId="4248B32C" w14:textId="77777777" w:rsidR="00E70C1F" w:rsidRPr="00F866F6" w:rsidRDefault="00E70C1F" w:rsidP="007D0EB4">
      <w:pPr>
        <w:pStyle w:val="ListParagraph"/>
        <w:numPr>
          <w:ilvl w:val="0"/>
          <w:numId w:val="40"/>
        </w:numPr>
        <w:rPr>
          <w:rFonts w:ascii="Arial" w:hAnsi="Arial" w:cs="Arial"/>
          <w:sz w:val="20"/>
          <w:szCs w:val="20"/>
        </w:rPr>
      </w:pPr>
      <w:r w:rsidRPr="00F866F6">
        <w:rPr>
          <w:rFonts w:ascii="Arial" w:hAnsi="Arial" w:cs="Arial"/>
          <w:sz w:val="20"/>
          <w:szCs w:val="20"/>
        </w:rPr>
        <w:t>Implementing and overseeing a comprehensive IT governance framework to support the effective and efficient management of IT resources.</w:t>
      </w:r>
    </w:p>
    <w:p w14:paraId="7A0E6471" w14:textId="77777777" w:rsidR="00E70C1F" w:rsidRPr="00F866F6" w:rsidRDefault="00E70C1F" w:rsidP="00E70C1F">
      <w:pPr>
        <w:autoSpaceDE w:val="0"/>
        <w:autoSpaceDN w:val="0"/>
        <w:adjustRightInd w:val="0"/>
        <w:spacing w:before="0" w:after="0"/>
        <w:rPr>
          <w:rFonts w:ascii="Arial" w:eastAsiaTheme="minorHAnsi" w:hAnsi="Arial" w:cs="Arial"/>
          <w:sz w:val="20"/>
          <w:szCs w:val="20"/>
          <w:lang w:val="en-US" w:eastAsia="en-US"/>
        </w:rPr>
      </w:pPr>
    </w:p>
    <w:p w14:paraId="15302B81" w14:textId="77777777" w:rsidR="00E70C1F" w:rsidRPr="00F866F6" w:rsidRDefault="00E70C1F" w:rsidP="007D0EB4">
      <w:pPr>
        <w:pStyle w:val="Heading4"/>
        <w:numPr>
          <w:ilvl w:val="3"/>
          <w:numId w:val="18"/>
        </w:numPr>
        <w:ind w:left="720" w:hanging="294"/>
        <w:rPr>
          <w:rFonts w:ascii="Arial" w:hAnsi="Arial" w:cs="Arial"/>
          <w:i w:val="0"/>
          <w:iCs w:val="0"/>
          <w:color w:val="auto"/>
        </w:rPr>
      </w:pPr>
      <w:r w:rsidRPr="00F866F6">
        <w:rPr>
          <w:rFonts w:ascii="Arial" w:hAnsi="Arial" w:cs="Arial"/>
          <w:i w:val="0"/>
          <w:iCs w:val="0"/>
          <w:color w:val="auto"/>
        </w:rPr>
        <w:t xml:space="preserve">Board Asset and Liability Committee </w:t>
      </w:r>
    </w:p>
    <w:p w14:paraId="7401AF6E" w14:textId="77777777" w:rsidR="00E70C1F" w:rsidRPr="00F866F6" w:rsidRDefault="00E70C1F" w:rsidP="00E70C1F">
      <w:pPr>
        <w:ind w:left="426"/>
        <w:rPr>
          <w:rFonts w:ascii="Arial" w:hAnsi="Arial" w:cs="Arial"/>
          <w:sz w:val="20"/>
          <w:szCs w:val="20"/>
        </w:rPr>
      </w:pPr>
      <w:r w:rsidRPr="00F866F6">
        <w:rPr>
          <w:rFonts w:ascii="Arial" w:hAnsi="Arial" w:cs="Arial"/>
          <w:sz w:val="20"/>
          <w:szCs w:val="20"/>
        </w:rPr>
        <w:t>The purpose of the Board ALCO is to assist the Board in fulfilling its oversight responsibility relating to establishing broad guidelines on Citibank Uganda Limited’s tolerance for risk and expectations from investment. The Committee reviews and oversees the work of the management ALCO and for monitoring and influencing the balance sheet, investment securities and capital management activities.</w:t>
      </w:r>
    </w:p>
    <w:p w14:paraId="7FB3F84E" w14:textId="77777777" w:rsidR="00E70C1F" w:rsidRPr="00F866F6" w:rsidRDefault="00E70C1F" w:rsidP="00E70C1F">
      <w:pPr>
        <w:autoSpaceDE w:val="0"/>
        <w:autoSpaceDN w:val="0"/>
        <w:adjustRightInd w:val="0"/>
        <w:spacing w:before="0" w:after="0"/>
        <w:rPr>
          <w:rFonts w:ascii="Arial" w:eastAsiaTheme="minorHAnsi" w:hAnsi="Arial" w:cs="Arial"/>
          <w:sz w:val="20"/>
          <w:szCs w:val="20"/>
          <w:lang w:val="en-US" w:eastAsia="en-US"/>
        </w:rPr>
      </w:pPr>
    </w:p>
    <w:p w14:paraId="3649D786" w14:textId="77777777" w:rsidR="00E70C1F" w:rsidRPr="00F866F6" w:rsidRDefault="00E70C1F" w:rsidP="007D0EB4">
      <w:pPr>
        <w:pStyle w:val="Heading4"/>
        <w:numPr>
          <w:ilvl w:val="3"/>
          <w:numId w:val="18"/>
        </w:numPr>
        <w:ind w:left="720" w:hanging="294"/>
        <w:rPr>
          <w:rFonts w:ascii="Arial" w:hAnsi="Arial" w:cs="Arial"/>
          <w:i w:val="0"/>
          <w:iCs w:val="0"/>
          <w:color w:val="auto"/>
        </w:rPr>
      </w:pPr>
      <w:r w:rsidRPr="00F866F6">
        <w:rPr>
          <w:rFonts w:ascii="Arial" w:hAnsi="Arial" w:cs="Arial"/>
          <w:i w:val="0"/>
          <w:iCs w:val="0"/>
          <w:color w:val="auto"/>
        </w:rPr>
        <w:t>Board Compensation Committee</w:t>
      </w:r>
    </w:p>
    <w:p w14:paraId="49DE0E04" w14:textId="77777777" w:rsidR="00E70C1F" w:rsidRPr="00F866F6" w:rsidRDefault="00E70C1F" w:rsidP="00E70C1F">
      <w:pPr>
        <w:ind w:left="426"/>
        <w:rPr>
          <w:rFonts w:ascii="Arial" w:hAnsi="Arial" w:cs="Arial"/>
          <w:sz w:val="20"/>
          <w:szCs w:val="20"/>
        </w:rPr>
      </w:pPr>
      <w:r w:rsidRPr="00F866F6">
        <w:rPr>
          <w:rFonts w:ascii="Arial" w:hAnsi="Arial" w:cs="Arial"/>
          <w:sz w:val="20"/>
          <w:szCs w:val="20"/>
        </w:rPr>
        <w:t>Citibank Uganda Limited Board has set up a Board Compensation Committee to perform two tasks:</w:t>
      </w:r>
    </w:p>
    <w:p w14:paraId="66CC7D3A" w14:textId="77777777" w:rsidR="00E70C1F" w:rsidRPr="00F866F6" w:rsidRDefault="00E70C1F" w:rsidP="007D0EB4">
      <w:pPr>
        <w:pStyle w:val="ListParagraph"/>
        <w:numPr>
          <w:ilvl w:val="0"/>
          <w:numId w:val="39"/>
        </w:numPr>
        <w:ind w:hanging="294"/>
        <w:rPr>
          <w:rFonts w:ascii="Arial" w:hAnsi="Arial" w:cs="Arial"/>
          <w:sz w:val="20"/>
          <w:szCs w:val="20"/>
        </w:rPr>
      </w:pPr>
      <w:r w:rsidRPr="00F866F6">
        <w:rPr>
          <w:rFonts w:ascii="Arial" w:hAnsi="Arial" w:cs="Arial"/>
          <w:sz w:val="20"/>
          <w:szCs w:val="20"/>
        </w:rPr>
        <w:t>Conducting broad human resources policy making relating to compensation and benefits plans, in compliance with Citi Policy and local regulations</w:t>
      </w:r>
    </w:p>
    <w:p w14:paraId="4DED08BD" w14:textId="77777777" w:rsidR="00E70C1F" w:rsidRPr="00F866F6" w:rsidRDefault="00E70C1F" w:rsidP="007D0EB4">
      <w:pPr>
        <w:pStyle w:val="ListParagraph"/>
        <w:numPr>
          <w:ilvl w:val="0"/>
          <w:numId w:val="39"/>
        </w:numPr>
        <w:ind w:hanging="294"/>
        <w:rPr>
          <w:rFonts w:ascii="Arial" w:hAnsi="Arial" w:cs="Arial"/>
          <w:sz w:val="20"/>
          <w:szCs w:val="20"/>
        </w:rPr>
      </w:pPr>
      <w:r w:rsidRPr="00F866F6">
        <w:rPr>
          <w:rFonts w:ascii="Arial" w:hAnsi="Arial" w:cs="Arial"/>
          <w:sz w:val="20"/>
          <w:szCs w:val="20"/>
        </w:rPr>
        <w:t>Communication to the Board on relevant compensation and human resource issues</w:t>
      </w:r>
    </w:p>
    <w:p w14:paraId="19751F5E" w14:textId="77777777" w:rsidR="00E70C1F" w:rsidRPr="00F866F6" w:rsidRDefault="00E70C1F" w:rsidP="00E70C1F">
      <w:pPr>
        <w:ind w:left="426"/>
        <w:rPr>
          <w:rFonts w:ascii="Arial" w:hAnsi="Arial" w:cs="Arial"/>
          <w:sz w:val="20"/>
          <w:szCs w:val="20"/>
        </w:rPr>
      </w:pPr>
      <w:r w:rsidRPr="00F866F6">
        <w:rPr>
          <w:rFonts w:ascii="Arial" w:hAnsi="Arial" w:cs="Arial"/>
          <w:sz w:val="20"/>
          <w:szCs w:val="20"/>
        </w:rPr>
        <w:t xml:space="preserve">The Committee will meet quarterly. </w:t>
      </w:r>
    </w:p>
    <w:p w14:paraId="3D41116C" w14:textId="77777777" w:rsidR="00E70C1F" w:rsidRPr="00F866F6" w:rsidRDefault="00E70C1F" w:rsidP="00E70C1F">
      <w:pPr>
        <w:autoSpaceDE w:val="0"/>
        <w:autoSpaceDN w:val="0"/>
        <w:adjustRightInd w:val="0"/>
        <w:spacing w:before="0" w:after="0"/>
        <w:rPr>
          <w:rFonts w:ascii="Arial" w:eastAsiaTheme="minorHAnsi" w:hAnsi="Arial" w:cs="Arial"/>
          <w:sz w:val="20"/>
          <w:szCs w:val="20"/>
          <w:lang w:val="en-US" w:eastAsia="en-US"/>
        </w:rPr>
      </w:pPr>
    </w:p>
    <w:p w14:paraId="04461F86" w14:textId="77777777" w:rsidR="00E70C1F" w:rsidRPr="00F866F6" w:rsidRDefault="00E70C1F" w:rsidP="007D0EB4">
      <w:pPr>
        <w:pStyle w:val="Heading4"/>
        <w:numPr>
          <w:ilvl w:val="3"/>
          <w:numId w:val="18"/>
        </w:numPr>
        <w:ind w:left="720" w:hanging="294"/>
        <w:rPr>
          <w:rFonts w:ascii="Arial" w:hAnsi="Arial" w:cs="Arial"/>
          <w:i w:val="0"/>
          <w:iCs w:val="0"/>
          <w:color w:val="auto"/>
        </w:rPr>
      </w:pPr>
      <w:r w:rsidRPr="00F866F6">
        <w:rPr>
          <w:rFonts w:ascii="Arial" w:hAnsi="Arial" w:cs="Arial"/>
          <w:i w:val="0"/>
          <w:iCs w:val="0"/>
          <w:color w:val="auto"/>
        </w:rPr>
        <w:t>Board Credit Committee</w:t>
      </w:r>
    </w:p>
    <w:p w14:paraId="11340F81" w14:textId="77777777" w:rsidR="00E70C1F" w:rsidRPr="00F866F6" w:rsidRDefault="00E70C1F" w:rsidP="00E70C1F">
      <w:pPr>
        <w:ind w:left="426"/>
        <w:rPr>
          <w:rFonts w:ascii="Arial" w:hAnsi="Arial" w:cs="Arial"/>
          <w:sz w:val="20"/>
          <w:szCs w:val="20"/>
        </w:rPr>
      </w:pPr>
      <w:r w:rsidRPr="00F866F6">
        <w:rPr>
          <w:rFonts w:ascii="Arial" w:hAnsi="Arial" w:cs="Arial"/>
          <w:sz w:val="20"/>
          <w:szCs w:val="20"/>
        </w:rPr>
        <w:t xml:space="preserve">The Citibank Uganda Limited Board has set up a Board Credit Committee (BCC) to provide oversight on credit operations in line with the credit strategy and to ensure that effective credit governance is in place to provide for the adequate management, measurement, </w:t>
      </w:r>
      <w:proofErr w:type="gramStart"/>
      <w:r w:rsidRPr="00F866F6">
        <w:rPr>
          <w:rFonts w:ascii="Arial" w:hAnsi="Arial" w:cs="Arial"/>
          <w:sz w:val="20"/>
          <w:szCs w:val="20"/>
        </w:rPr>
        <w:t>monitoring</w:t>
      </w:r>
      <w:proofErr w:type="gramEnd"/>
      <w:r w:rsidRPr="00F866F6">
        <w:rPr>
          <w:rFonts w:ascii="Arial" w:hAnsi="Arial" w:cs="Arial"/>
          <w:sz w:val="20"/>
          <w:szCs w:val="20"/>
        </w:rPr>
        <w:t xml:space="preserve"> and control of credit risk.</w:t>
      </w:r>
    </w:p>
    <w:p w14:paraId="154387B5" w14:textId="77777777" w:rsidR="00E70C1F" w:rsidRPr="00F866F6" w:rsidRDefault="00E70C1F" w:rsidP="00E70C1F">
      <w:pPr>
        <w:ind w:left="426"/>
        <w:rPr>
          <w:rFonts w:ascii="Arial" w:hAnsi="Arial" w:cs="Arial"/>
          <w:sz w:val="20"/>
          <w:szCs w:val="20"/>
        </w:rPr>
      </w:pPr>
    </w:p>
    <w:p w14:paraId="5AB9D4F0" w14:textId="77777777" w:rsidR="00E70C1F" w:rsidRPr="00F866F6" w:rsidRDefault="00E70C1F" w:rsidP="007D0EB4">
      <w:pPr>
        <w:pStyle w:val="Heading4"/>
        <w:numPr>
          <w:ilvl w:val="3"/>
          <w:numId w:val="18"/>
        </w:numPr>
        <w:ind w:left="720" w:hanging="294"/>
        <w:rPr>
          <w:rFonts w:ascii="Arial" w:hAnsi="Arial" w:cs="Arial"/>
          <w:i w:val="0"/>
          <w:iCs w:val="0"/>
          <w:color w:val="auto"/>
        </w:rPr>
      </w:pPr>
      <w:r w:rsidRPr="00F866F6">
        <w:rPr>
          <w:rFonts w:ascii="Arial" w:hAnsi="Arial" w:cs="Arial"/>
          <w:i w:val="0"/>
          <w:iCs w:val="0"/>
          <w:color w:val="auto"/>
        </w:rPr>
        <w:t>Board Nominations Committee</w:t>
      </w:r>
    </w:p>
    <w:p w14:paraId="262ADF25" w14:textId="77777777" w:rsidR="00E70C1F" w:rsidRPr="00F866F6" w:rsidRDefault="00E70C1F" w:rsidP="00E70C1F">
      <w:pPr>
        <w:spacing w:before="120" w:after="120"/>
        <w:ind w:left="360"/>
        <w:rPr>
          <w:rFonts w:ascii="Arial" w:eastAsiaTheme="minorHAnsi" w:hAnsi="Arial" w:cs="Arial"/>
          <w:sz w:val="20"/>
          <w:szCs w:val="20"/>
          <w:lang w:val="en-US" w:eastAsia="en-US"/>
        </w:rPr>
      </w:pPr>
      <w:r w:rsidRPr="00F866F6">
        <w:rPr>
          <w:rFonts w:ascii="Arial" w:eastAsiaTheme="minorHAnsi" w:hAnsi="Arial" w:cs="Arial"/>
          <w:sz w:val="20"/>
          <w:szCs w:val="20"/>
          <w:lang w:val="en-US" w:eastAsia="en-US"/>
        </w:rPr>
        <w:t>The purpose of the Board Nominations Committee (NomCo) is to provide oversight in respect of the on-     boarding of new Directors. To identify and nominate candidates to the Board in line with specified criteria. To assist the Board in ensuring the Directors on-boarded are qualified for their positions, have a clear     understanding of their role in corporate governance and are not subject to undue influence from management or outside concerns.</w:t>
      </w:r>
    </w:p>
    <w:p w14:paraId="55BF4DC1" w14:textId="77777777" w:rsidR="00E70C1F" w:rsidRPr="00F866F6" w:rsidRDefault="00E70C1F" w:rsidP="00E70C1F">
      <w:pPr>
        <w:spacing w:before="120" w:after="120"/>
        <w:ind w:left="360"/>
        <w:rPr>
          <w:rFonts w:ascii="Arial" w:eastAsiaTheme="minorHAnsi" w:hAnsi="Arial" w:cs="Arial"/>
          <w:sz w:val="20"/>
          <w:szCs w:val="20"/>
          <w:lang w:val="en-US" w:eastAsia="en-US"/>
        </w:rPr>
      </w:pPr>
    </w:p>
    <w:p w14:paraId="2716D19C" w14:textId="77777777" w:rsidR="00E70C1F" w:rsidRPr="00F866F6" w:rsidRDefault="00E70C1F" w:rsidP="007D0EB4">
      <w:pPr>
        <w:pStyle w:val="Heading3"/>
        <w:numPr>
          <w:ilvl w:val="2"/>
          <w:numId w:val="18"/>
        </w:numPr>
        <w:ind w:left="720"/>
        <w:rPr>
          <w:rFonts w:ascii="Arial" w:hAnsi="Arial" w:cs="Arial"/>
          <w:color w:val="auto"/>
        </w:rPr>
      </w:pPr>
      <w:bookmarkStart w:id="35" w:name="_Toc130808469"/>
      <w:bookmarkStart w:id="36" w:name="_Toc135136707"/>
      <w:r w:rsidRPr="00F866F6">
        <w:rPr>
          <w:rFonts w:ascii="Arial" w:hAnsi="Arial" w:cs="Arial"/>
          <w:color w:val="auto"/>
        </w:rPr>
        <w:t>Citibank Uganda Limited Management Team and Committees</w:t>
      </w:r>
      <w:bookmarkEnd w:id="35"/>
      <w:bookmarkEnd w:id="36"/>
    </w:p>
    <w:p w14:paraId="3174281D" w14:textId="77777777" w:rsidR="00E70C1F" w:rsidRPr="00F866F6" w:rsidRDefault="00E70C1F" w:rsidP="00E70C1F">
      <w:pPr>
        <w:autoSpaceDE w:val="0"/>
        <w:autoSpaceDN w:val="0"/>
        <w:adjustRightInd w:val="0"/>
        <w:spacing w:before="0" w:after="0"/>
        <w:rPr>
          <w:rFonts w:ascii="Arial" w:eastAsiaTheme="minorHAnsi" w:hAnsi="Arial" w:cs="Arial"/>
          <w:sz w:val="20"/>
          <w:szCs w:val="20"/>
          <w:lang w:val="en-US" w:eastAsia="en-US"/>
        </w:rPr>
      </w:pPr>
      <w:bookmarkStart w:id="37" w:name="_Toc104362122"/>
      <w:bookmarkStart w:id="38" w:name="_Hlk103877306"/>
      <w:bookmarkStart w:id="39" w:name="_Hlk104199925"/>
    </w:p>
    <w:p w14:paraId="50339D3A" w14:textId="77777777" w:rsidR="00E70C1F" w:rsidRPr="00F866F6" w:rsidRDefault="00E70C1F" w:rsidP="007D0EB4">
      <w:pPr>
        <w:pStyle w:val="Heading4"/>
        <w:numPr>
          <w:ilvl w:val="3"/>
          <w:numId w:val="18"/>
        </w:numPr>
        <w:ind w:left="720" w:hanging="294"/>
        <w:rPr>
          <w:rFonts w:ascii="Arial" w:hAnsi="Arial" w:cs="Arial"/>
          <w:color w:val="auto"/>
        </w:rPr>
      </w:pPr>
      <w:r w:rsidRPr="00F866F6">
        <w:rPr>
          <w:rFonts w:ascii="Arial" w:hAnsi="Arial" w:cs="Arial"/>
          <w:i w:val="0"/>
          <w:iCs w:val="0"/>
          <w:color w:val="auto"/>
        </w:rPr>
        <w:t>Country Coordinating Committee</w:t>
      </w:r>
    </w:p>
    <w:bookmarkEnd w:id="37"/>
    <w:p w14:paraId="672398DA" w14:textId="77777777" w:rsidR="00E70C1F" w:rsidRPr="00F866F6" w:rsidRDefault="00E70C1F" w:rsidP="00E70C1F">
      <w:pPr>
        <w:spacing w:before="120" w:after="120"/>
        <w:ind w:left="360"/>
        <w:rPr>
          <w:rFonts w:ascii="Arial" w:hAnsi="Arial" w:cs="Arial"/>
          <w:sz w:val="20"/>
          <w:szCs w:val="20"/>
        </w:rPr>
      </w:pPr>
      <w:r w:rsidRPr="00F866F6">
        <w:rPr>
          <w:rFonts w:ascii="Arial" w:eastAsiaTheme="minorHAnsi" w:hAnsi="Arial" w:cs="Arial"/>
          <w:sz w:val="20"/>
          <w:szCs w:val="20"/>
          <w:lang w:val="en-US" w:eastAsia="en-US"/>
        </w:rPr>
        <w:t xml:space="preserve">The Country Coordinating Committee (“CCC”) is the principal Country Management Governance Committee in which the key Principals of the Country’s First, Second and Third Lines of Defense come together to discuss important franchise matters. Under the </w:t>
      </w:r>
      <w:r w:rsidRPr="00F866F6">
        <w:rPr>
          <w:rFonts w:ascii="Arial" w:hAnsi="Arial" w:cs="Arial"/>
          <w:sz w:val="20"/>
          <w:szCs w:val="20"/>
        </w:rPr>
        <w:t>Citi Governance Policy</w:t>
      </w:r>
      <w:r w:rsidRPr="00F866F6">
        <w:rPr>
          <w:rFonts w:ascii="Arial" w:eastAsiaTheme="minorHAnsi" w:hAnsi="Arial" w:cs="Arial"/>
          <w:sz w:val="20"/>
          <w:szCs w:val="20"/>
          <w:lang w:val="en-US" w:eastAsia="en-US"/>
        </w:rPr>
        <w:t xml:space="preserve">, the CCC covers Strategic ,  Reputation, </w:t>
      </w:r>
      <w:r w:rsidRPr="00F866F6">
        <w:rPr>
          <w:rFonts w:ascii="Arial" w:hAnsi="Arial" w:cs="Arial"/>
          <w:sz w:val="20"/>
          <w:szCs w:val="20"/>
        </w:rPr>
        <w:t xml:space="preserve">Credit, and Trading Market, Operational and Compliance Risks. </w:t>
      </w:r>
    </w:p>
    <w:p w14:paraId="5BABDAC8" w14:textId="77777777" w:rsidR="00E70C1F" w:rsidRPr="00F866F6" w:rsidRDefault="00E70C1F" w:rsidP="00E70C1F">
      <w:pPr>
        <w:spacing w:before="120" w:after="120"/>
        <w:ind w:left="360"/>
        <w:rPr>
          <w:rFonts w:ascii="Arial" w:hAnsi="Arial" w:cs="Arial"/>
          <w:sz w:val="20"/>
          <w:szCs w:val="20"/>
        </w:rPr>
      </w:pPr>
      <w:r w:rsidRPr="00F866F6">
        <w:rPr>
          <w:rFonts w:ascii="Arial" w:hAnsi="Arial" w:cs="Arial"/>
          <w:sz w:val="20"/>
          <w:szCs w:val="20"/>
        </w:rPr>
        <w:t>The CCC escalate matters directly to the Board and/or committees in addition to the relevant business, risk-</w:t>
      </w:r>
      <w:proofErr w:type="gramStart"/>
      <w:r w:rsidRPr="00F866F6">
        <w:rPr>
          <w:rFonts w:ascii="Arial" w:hAnsi="Arial" w:cs="Arial"/>
          <w:sz w:val="20"/>
          <w:szCs w:val="20"/>
        </w:rPr>
        <w:t>stripe</w:t>
      </w:r>
      <w:proofErr w:type="gramEnd"/>
      <w:r w:rsidRPr="00F866F6">
        <w:rPr>
          <w:rFonts w:ascii="Arial" w:hAnsi="Arial" w:cs="Arial"/>
          <w:sz w:val="20"/>
          <w:szCs w:val="20"/>
        </w:rPr>
        <w:t xml:space="preserve"> or functional Governance Committees for action. </w:t>
      </w:r>
    </w:p>
    <w:p w14:paraId="6AF50099" w14:textId="6469553E" w:rsidR="00E70C1F" w:rsidRPr="00F866F6" w:rsidRDefault="00E70C1F" w:rsidP="00E70C1F">
      <w:pPr>
        <w:spacing w:before="120" w:after="120"/>
        <w:ind w:left="360"/>
        <w:rPr>
          <w:rFonts w:ascii="Arial" w:eastAsiaTheme="minorHAnsi" w:hAnsi="Arial" w:cs="Arial"/>
          <w:sz w:val="20"/>
          <w:szCs w:val="20"/>
          <w:lang w:val="en-US" w:eastAsia="en-US"/>
        </w:rPr>
      </w:pPr>
      <w:r w:rsidRPr="00F866F6">
        <w:rPr>
          <w:rFonts w:ascii="Arial" w:eastAsiaTheme="minorHAnsi" w:hAnsi="Arial" w:cs="Arial"/>
          <w:sz w:val="20"/>
          <w:szCs w:val="20"/>
          <w:lang w:val="en-US" w:eastAsia="en-US"/>
        </w:rPr>
        <w:t xml:space="preserve">The Citi Country Officer (“CCO”) is responsible for developing the most relevant agenda for the CCC and topics may include Franchise Management to review strategy, business performance, financials, Franchise Protection to review and address issues of local regulatory developments, significant risk and control matters, franchise issues escalated from other committees and forums, HR / Talent related, external relations, other significant Franchise topics as the CCO deems appropriate. </w:t>
      </w:r>
    </w:p>
    <w:bookmarkEnd w:id="38"/>
    <w:p w14:paraId="5424D488" w14:textId="77777777" w:rsidR="00E70C1F" w:rsidRDefault="00E70C1F" w:rsidP="00E70C1F">
      <w:pPr>
        <w:spacing w:before="120" w:after="120"/>
        <w:ind w:left="360"/>
        <w:rPr>
          <w:rFonts w:ascii="Arial" w:eastAsiaTheme="majorEastAsia" w:hAnsi="Arial" w:cs="Arial"/>
          <w:lang w:val="en-US"/>
        </w:rPr>
      </w:pPr>
    </w:p>
    <w:p w14:paraId="23FA556D" w14:textId="77777777" w:rsidR="00E70C1F" w:rsidRPr="00F866F6" w:rsidRDefault="00E70C1F" w:rsidP="00E70C1F">
      <w:pPr>
        <w:spacing w:before="120" w:after="120"/>
        <w:ind w:left="360"/>
        <w:rPr>
          <w:rFonts w:ascii="Arial" w:eastAsiaTheme="majorEastAsia" w:hAnsi="Arial" w:cs="Arial"/>
        </w:rPr>
      </w:pPr>
      <w:r w:rsidRPr="00F866F6">
        <w:rPr>
          <w:rFonts w:ascii="Arial" w:eastAsiaTheme="majorEastAsia" w:hAnsi="Arial" w:cs="Arial"/>
        </w:rPr>
        <w:t>2.3.3.2 Reporting Oversight Committee</w:t>
      </w:r>
    </w:p>
    <w:p w14:paraId="55ABFF47" w14:textId="77777777" w:rsidR="00E70C1F" w:rsidRPr="00F866F6" w:rsidRDefault="00E70C1F" w:rsidP="00E70C1F">
      <w:pPr>
        <w:spacing w:before="120" w:after="120"/>
        <w:ind w:left="360"/>
        <w:rPr>
          <w:rFonts w:ascii="Arial" w:hAnsi="Arial" w:cs="Arial"/>
          <w:sz w:val="20"/>
          <w:szCs w:val="20"/>
        </w:rPr>
      </w:pPr>
      <w:r w:rsidRPr="00F866F6">
        <w:rPr>
          <w:rFonts w:ascii="Arial" w:hAnsi="Arial" w:cs="Arial"/>
          <w:sz w:val="20"/>
          <w:szCs w:val="20"/>
        </w:rPr>
        <w:t>Reporting Oversight Committee (“ROC”) is a supplemental committee, it governs the overall soundness and safety of local regulatory reporting. The Uganda ROC is chaired by the CCO or her alternate, and it meets on a quarterly basis, or more frequently depending on regulatory changes and other factors. This Committee reports to the Uganda CCC.</w:t>
      </w:r>
    </w:p>
    <w:p w14:paraId="426D27FA" w14:textId="77777777" w:rsidR="00E70C1F" w:rsidRPr="00F866F6" w:rsidRDefault="00E70C1F" w:rsidP="00E70C1F">
      <w:pPr>
        <w:spacing w:before="120" w:after="120"/>
        <w:ind w:left="360"/>
        <w:rPr>
          <w:rFonts w:ascii="Arial" w:hAnsi="Arial" w:cs="Arial"/>
          <w:sz w:val="20"/>
          <w:szCs w:val="20"/>
        </w:rPr>
      </w:pPr>
    </w:p>
    <w:p w14:paraId="70A36BD9" w14:textId="77777777" w:rsidR="00E70C1F" w:rsidRPr="00F866F6" w:rsidRDefault="00E70C1F" w:rsidP="00E70C1F">
      <w:pPr>
        <w:spacing w:before="120" w:after="120"/>
        <w:ind w:left="360"/>
        <w:rPr>
          <w:rFonts w:ascii="Arial" w:eastAsiaTheme="majorEastAsia" w:hAnsi="Arial" w:cs="Arial"/>
        </w:rPr>
      </w:pPr>
      <w:bookmarkStart w:id="40" w:name="_Hlk133308596"/>
      <w:r w:rsidRPr="00F866F6">
        <w:rPr>
          <w:rFonts w:ascii="Arial" w:eastAsiaTheme="majorEastAsia" w:hAnsi="Arial" w:cs="Arial"/>
        </w:rPr>
        <w:t xml:space="preserve">2.3.3.3 Third Party Risk Management </w:t>
      </w:r>
      <w:bookmarkEnd w:id="40"/>
      <w:r w:rsidRPr="00F866F6">
        <w:rPr>
          <w:rFonts w:ascii="Arial" w:eastAsiaTheme="majorEastAsia" w:hAnsi="Arial" w:cs="Arial"/>
        </w:rPr>
        <w:t>Committee</w:t>
      </w:r>
    </w:p>
    <w:p w14:paraId="486D4F5B" w14:textId="77777777" w:rsidR="00E70C1F" w:rsidRPr="00F866F6" w:rsidRDefault="00E70C1F" w:rsidP="00E70C1F">
      <w:pPr>
        <w:spacing w:before="120" w:after="120"/>
        <w:ind w:left="360"/>
        <w:rPr>
          <w:rFonts w:ascii="Arial" w:hAnsi="Arial" w:cs="Arial"/>
          <w:sz w:val="20"/>
          <w:szCs w:val="20"/>
        </w:rPr>
      </w:pPr>
      <w:r w:rsidRPr="00F866F6">
        <w:rPr>
          <w:rFonts w:ascii="Arial" w:hAnsi="Arial" w:cs="Arial"/>
          <w:sz w:val="20"/>
          <w:szCs w:val="20"/>
        </w:rPr>
        <w:t>Third Party Risk Management Committee (“TPRMC”) is a supplemental committee to ensure there is required visibility into Third Party Risk Management and/ or Outsourcing activities in the country. The Uganda TPRMC is chaired by the CCO or her alternate, and it meets on a quarterly basis, reporting to the Uganda CCC.</w:t>
      </w:r>
    </w:p>
    <w:p w14:paraId="248A22B6" w14:textId="77777777" w:rsidR="00E70C1F" w:rsidRPr="00F866F6" w:rsidRDefault="00E70C1F" w:rsidP="00E70C1F">
      <w:pPr>
        <w:spacing w:before="120" w:after="120"/>
        <w:ind w:left="360"/>
        <w:rPr>
          <w:rFonts w:ascii="Arial" w:eastAsiaTheme="minorHAnsi" w:hAnsi="Arial" w:cs="Arial"/>
          <w:sz w:val="20"/>
          <w:szCs w:val="20"/>
          <w:lang w:val="en-US" w:eastAsia="en-US"/>
        </w:rPr>
      </w:pPr>
    </w:p>
    <w:p w14:paraId="626272FC" w14:textId="77777777" w:rsidR="00E70C1F" w:rsidRPr="00F866F6" w:rsidRDefault="00E70C1F" w:rsidP="00E70C1F">
      <w:pPr>
        <w:spacing w:before="120" w:after="120"/>
        <w:ind w:left="360"/>
      </w:pPr>
      <w:r w:rsidRPr="00F866F6">
        <w:rPr>
          <w:rFonts w:ascii="Arial" w:hAnsi="Arial" w:cs="Arial"/>
        </w:rPr>
        <w:t xml:space="preserve">2.3.3.4 Uganda </w:t>
      </w:r>
      <w:bookmarkStart w:id="41" w:name="_Hlk133225658"/>
      <w:r w:rsidRPr="00F866F6">
        <w:rPr>
          <w:rFonts w:ascii="Arial" w:hAnsi="Arial" w:cs="Arial"/>
        </w:rPr>
        <w:t xml:space="preserve">Asset and Liability Committee </w:t>
      </w:r>
      <w:bookmarkEnd w:id="41"/>
    </w:p>
    <w:p w14:paraId="75E229B3" w14:textId="77777777" w:rsidR="00E70C1F" w:rsidRPr="00F866F6" w:rsidRDefault="00E70C1F" w:rsidP="00E70C1F">
      <w:pPr>
        <w:spacing w:before="120" w:after="120"/>
        <w:ind w:left="360"/>
        <w:rPr>
          <w:rFonts w:ascii="Arial" w:hAnsi="Arial" w:cs="Arial"/>
          <w:sz w:val="20"/>
          <w:szCs w:val="20"/>
          <w:lang w:val="en-US"/>
        </w:rPr>
      </w:pPr>
      <w:r w:rsidRPr="00F866F6">
        <w:rPr>
          <w:rFonts w:ascii="Arial" w:hAnsi="Arial" w:cs="Arial"/>
          <w:sz w:val="20"/>
          <w:szCs w:val="20"/>
          <w:lang w:val="en-US"/>
        </w:rPr>
        <w:t>The Uganda</w:t>
      </w:r>
      <w:r w:rsidRPr="00F866F6">
        <w:rPr>
          <w:rFonts w:ascii="Arial" w:eastAsiaTheme="minorHAnsi" w:hAnsi="Arial" w:cs="Arial"/>
          <w:sz w:val="20"/>
          <w:szCs w:val="20"/>
          <w:lang w:val="en-US" w:eastAsia="en-US"/>
        </w:rPr>
        <w:t xml:space="preserve"> Asset and Liability Committee (“</w:t>
      </w:r>
      <w:r w:rsidRPr="00F866F6">
        <w:rPr>
          <w:rFonts w:ascii="Arial" w:hAnsi="Arial" w:cs="Arial"/>
          <w:sz w:val="20"/>
          <w:szCs w:val="20"/>
          <w:lang w:val="en-US"/>
        </w:rPr>
        <w:t>ALCO”) is responsible for prudent Balance Sheet planning and management through the monitoring and influencing of the balance sheet, investment securities, and capital management activities. Balance Sheet optimization is closely integrated with the overall business strategy, and its objective is to drive appropriate returns given the liquidity, capital and interest rate exposure risks associated with its assets and liabilities, as defined in Citi’s Asset and Liability Committee (ALCO) Standard for Citigroup (“ALCO Standard”). The ALCO covers Liquidity Risk and Non-Trading Market Risk at a Country level.</w:t>
      </w:r>
    </w:p>
    <w:p w14:paraId="0066B769" w14:textId="77777777" w:rsidR="00E70C1F" w:rsidRPr="00F866F6" w:rsidRDefault="00E70C1F" w:rsidP="00E70C1F">
      <w:pPr>
        <w:spacing w:before="120" w:after="120"/>
        <w:ind w:left="360"/>
        <w:rPr>
          <w:rFonts w:ascii="Arial" w:hAnsi="Arial" w:cs="Arial"/>
          <w:sz w:val="20"/>
          <w:szCs w:val="20"/>
          <w:lang w:val="en-US"/>
        </w:rPr>
      </w:pPr>
      <w:r w:rsidRPr="00F866F6">
        <w:rPr>
          <w:rFonts w:ascii="Arial" w:hAnsi="Arial" w:cs="Arial"/>
          <w:sz w:val="20"/>
          <w:szCs w:val="20"/>
          <w:lang w:val="en-US"/>
        </w:rPr>
        <w:t>The CCO or her alternate chairs the country ALCO, and it meets at least quarterly. The scope, membership, and administration of ALCO is outlined in Citi’s ALCO Standard.</w:t>
      </w:r>
      <w:r w:rsidRPr="00F866F6">
        <w:rPr>
          <w:rFonts w:ascii="Arial" w:eastAsiaTheme="minorHAnsi" w:hAnsi="Arial" w:cs="Arial"/>
          <w:sz w:val="20"/>
          <w:szCs w:val="20"/>
          <w:lang w:val="en-US" w:eastAsia="en-US"/>
        </w:rPr>
        <w:t xml:space="preserve"> Further details are outlined in the Country Governance Standard.</w:t>
      </w:r>
    </w:p>
    <w:p w14:paraId="7F96E286" w14:textId="77777777" w:rsidR="00E70C1F" w:rsidRPr="00F866F6" w:rsidRDefault="00E70C1F" w:rsidP="00E70C1F">
      <w:pPr>
        <w:spacing w:before="120" w:after="120"/>
        <w:ind w:left="360"/>
        <w:rPr>
          <w:rFonts w:ascii="Arial" w:hAnsi="Arial" w:cs="Arial"/>
          <w:sz w:val="20"/>
          <w:szCs w:val="20"/>
          <w:lang w:val="en-US"/>
        </w:rPr>
      </w:pPr>
      <w:bookmarkStart w:id="42" w:name="_Toc104362125"/>
      <w:r w:rsidRPr="00F866F6">
        <w:rPr>
          <w:rFonts w:ascii="Arial" w:hAnsi="Arial" w:cs="Arial"/>
          <w:sz w:val="20"/>
          <w:szCs w:val="20"/>
          <w:lang w:val="en-US"/>
        </w:rPr>
        <w:t>Citibank Uganda Limited also has a Board ALCO Committee at a Board level which covers Liquidity Risk and Non-Trading Market Risk into which country ALCO escalates to.</w:t>
      </w:r>
    </w:p>
    <w:p w14:paraId="5A7D3567" w14:textId="77777777" w:rsidR="00E70C1F" w:rsidRPr="00F866F6" w:rsidRDefault="00E70C1F" w:rsidP="00E70C1F">
      <w:pPr>
        <w:spacing w:before="120" w:after="120"/>
        <w:ind w:left="360"/>
        <w:rPr>
          <w:rFonts w:ascii="Arial" w:hAnsi="Arial" w:cs="Arial"/>
          <w:sz w:val="20"/>
          <w:szCs w:val="20"/>
          <w:lang w:val="en-US"/>
        </w:rPr>
      </w:pPr>
    </w:p>
    <w:p w14:paraId="107688E9" w14:textId="77777777" w:rsidR="00E70C1F" w:rsidRPr="00F866F6" w:rsidRDefault="00E70C1F" w:rsidP="007D0EB4">
      <w:pPr>
        <w:pStyle w:val="Heading3"/>
        <w:numPr>
          <w:ilvl w:val="2"/>
          <w:numId w:val="18"/>
        </w:numPr>
        <w:ind w:left="720"/>
        <w:rPr>
          <w:rFonts w:ascii="Arial" w:hAnsi="Arial" w:cs="Arial"/>
          <w:color w:val="auto"/>
        </w:rPr>
      </w:pPr>
      <w:bookmarkStart w:id="43" w:name="_Toc130808470"/>
      <w:bookmarkStart w:id="44" w:name="_Toc135136708"/>
      <w:bookmarkStart w:id="45" w:name="_Toc104362126"/>
      <w:bookmarkEnd w:id="39"/>
      <w:bookmarkEnd w:id="42"/>
      <w:r w:rsidRPr="00F866F6">
        <w:rPr>
          <w:rFonts w:ascii="Arial" w:hAnsi="Arial" w:cs="Arial"/>
          <w:color w:val="auto"/>
        </w:rPr>
        <w:t>Escalation</w:t>
      </w:r>
      <w:bookmarkEnd w:id="43"/>
      <w:bookmarkEnd w:id="44"/>
    </w:p>
    <w:bookmarkEnd w:id="45"/>
    <w:p w14:paraId="2E6F19FA" w14:textId="77777777" w:rsidR="00E70C1F" w:rsidRPr="00F866F6" w:rsidRDefault="00E70C1F" w:rsidP="00E70C1F">
      <w:pPr>
        <w:pStyle w:val="Default"/>
        <w:spacing w:after="53"/>
        <w:jc w:val="both"/>
        <w:rPr>
          <w:color w:val="auto"/>
          <w:sz w:val="20"/>
          <w:szCs w:val="20"/>
        </w:rPr>
      </w:pPr>
      <w:r w:rsidRPr="00F866F6">
        <w:rPr>
          <w:color w:val="auto"/>
          <w:sz w:val="20"/>
          <w:szCs w:val="20"/>
        </w:rPr>
        <w:t xml:space="preserve">The </w:t>
      </w:r>
      <w:hyperlink r:id="rId21" w:history="1">
        <w:r w:rsidRPr="00F866F6">
          <w:rPr>
            <w:rStyle w:val="Hyperlink"/>
            <w:color w:val="auto"/>
            <w:sz w:val="20"/>
            <w:szCs w:val="20"/>
          </w:rPr>
          <w:t>Escalation Policy</w:t>
        </w:r>
      </w:hyperlink>
      <w:r w:rsidRPr="00F866F6">
        <w:rPr>
          <w:color w:val="auto"/>
          <w:sz w:val="20"/>
          <w:szCs w:val="20"/>
        </w:rPr>
        <w:t xml:space="preserve"> sets forth requirements on who, what to escalate, when to escalate, the parties to whom to escalate, and how to follow up on escalations for all Primary Risk Categories Employees must promptly escalate concerns in accordance with the </w:t>
      </w:r>
      <w:hyperlink r:id="rId22" w:history="1">
        <w:r w:rsidRPr="00F866F6">
          <w:rPr>
            <w:rStyle w:val="Hyperlink"/>
            <w:color w:val="auto"/>
            <w:sz w:val="20"/>
            <w:szCs w:val="20"/>
          </w:rPr>
          <w:t>Escalation Policy</w:t>
        </w:r>
      </w:hyperlink>
      <w:r w:rsidRPr="00F866F6">
        <w:rPr>
          <w:color w:val="auto"/>
          <w:sz w:val="20"/>
          <w:szCs w:val="20"/>
        </w:rPr>
        <w:t xml:space="preserve">. </w:t>
      </w:r>
    </w:p>
    <w:p w14:paraId="774462A9" w14:textId="77777777" w:rsidR="00E70C1F" w:rsidRPr="00F866F6" w:rsidRDefault="00E70C1F" w:rsidP="00E70C1F">
      <w:pPr>
        <w:rPr>
          <w:rFonts w:ascii="Arial" w:hAnsi="Arial" w:cs="Arial"/>
          <w:sz w:val="20"/>
          <w:szCs w:val="20"/>
          <w:lang w:eastAsia="en-US"/>
        </w:rPr>
      </w:pPr>
    </w:p>
    <w:p w14:paraId="1589DB3E" w14:textId="77777777" w:rsidR="00E70C1F" w:rsidRPr="00F866F6" w:rsidRDefault="00E70C1F" w:rsidP="007D0EB4">
      <w:pPr>
        <w:pStyle w:val="Heading3"/>
        <w:numPr>
          <w:ilvl w:val="2"/>
          <w:numId w:val="18"/>
        </w:numPr>
        <w:ind w:left="720"/>
        <w:rPr>
          <w:rFonts w:ascii="Arial" w:hAnsi="Arial" w:cs="Arial"/>
          <w:color w:val="auto"/>
        </w:rPr>
      </w:pPr>
      <w:bookmarkStart w:id="46" w:name="_Toc130808471"/>
      <w:bookmarkStart w:id="47" w:name="_Toc135136709"/>
      <w:r w:rsidRPr="00F866F6">
        <w:rPr>
          <w:rFonts w:ascii="Arial" w:hAnsi="Arial" w:cs="Arial"/>
          <w:color w:val="auto"/>
        </w:rPr>
        <w:t>Roles and Responsibilities – Lines of Defense</w:t>
      </w:r>
      <w:bookmarkEnd w:id="46"/>
      <w:bookmarkEnd w:id="47"/>
    </w:p>
    <w:p w14:paraId="64AC9816" w14:textId="77777777" w:rsidR="00E70C1F" w:rsidRPr="00F866F6" w:rsidRDefault="00E70C1F" w:rsidP="00E70C1F">
      <w:pPr>
        <w:rPr>
          <w:rFonts w:ascii="Arial" w:hAnsi="Arial" w:cs="Arial"/>
          <w:sz w:val="20"/>
          <w:szCs w:val="20"/>
        </w:rPr>
      </w:pPr>
      <w:r w:rsidRPr="00F866F6">
        <w:rPr>
          <w:rFonts w:ascii="Arial" w:hAnsi="Arial" w:cs="Arial"/>
          <w:sz w:val="20"/>
          <w:szCs w:val="20"/>
        </w:rPr>
        <w:t xml:space="preserve">Citi uses a three Lines of Defense model as a key component to manage its risks. The Lines of Defense model brings together risk taking, risk oversight, and risk assurance under one umbrella and provides an avenue for risk accountability of first line of defense, a construct for effective challenge by Independent Risk Management (“IRM”) / Independent Compliance Risk Management (“ICRM”) (“Second Line of Defense”) and empowers independent risk assurance by Internal Audit (“third line of defense”). Additionally, Citi has Enterprise Support Functions. </w:t>
      </w:r>
    </w:p>
    <w:p w14:paraId="4C537788" w14:textId="77777777" w:rsidR="00E70C1F" w:rsidRPr="00F866F6" w:rsidRDefault="00E70C1F" w:rsidP="00E70C1F">
      <w:pPr>
        <w:rPr>
          <w:rFonts w:ascii="Arial" w:hAnsi="Arial" w:cs="Arial"/>
          <w:sz w:val="20"/>
          <w:szCs w:val="20"/>
        </w:rPr>
      </w:pPr>
    </w:p>
    <w:p w14:paraId="391D79B1" w14:textId="77777777" w:rsidR="00E70C1F" w:rsidRPr="00F866F6" w:rsidRDefault="00E70C1F" w:rsidP="00E70C1F">
      <w:pPr>
        <w:rPr>
          <w:rFonts w:ascii="Arial" w:hAnsi="Arial" w:cs="Arial"/>
          <w:sz w:val="20"/>
          <w:szCs w:val="20"/>
        </w:rPr>
      </w:pPr>
      <w:r w:rsidRPr="00F866F6">
        <w:rPr>
          <w:rFonts w:ascii="Arial" w:hAnsi="Arial" w:cs="Arial"/>
          <w:sz w:val="20"/>
          <w:szCs w:val="20"/>
        </w:rPr>
        <w:t xml:space="preserve">The first, second and third lines of defense, along with enterprise support functions, have distinct roles and responsibilities and are empowered to perform their relevant risk management processes and responsibilities as outlined in the ERMF and supporting suite of policy documents </w:t>
      </w:r>
      <w:proofErr w:type="gramStart"/>
      <w:r w:rsidRPr="00F866F6">
        <w:rPr>
          <w:rFonts w:ascii="Arial" w:hAnsi="Arial" w:cs="Arial"/>
          <w:sz w:val="20"/>
          <w:szCs w:val="20"/>
        </w:rPr>
        <w:t>in order to</w:t>
      </w:r>
      <w:proofErr w:type="gramEnd"/>
      <w:r w:rsidRPr="00F866F6">
        <w:rPr>
          <w:rFonts w:ascii="Arial" w:hAnsi="Arial" w:cs="Arial"/>
          <w:sz w:val="20"/>
          <w:szCs w:val="20"/>
        </w:rPr>
        <w:t xml:space="preserve"> manage Citi’s risks in a consistent and effective manner.</w:t>
      </w:r>
    </w:p>
    <w:p w14:paraId="3AD25A9C" w14:textId="77777777" w:rsidR="00E70C1F" w:rsidRPr="00F866F6" w:rsidRDefault="00E70C1F" w:rsidP="00E70C1F">
      <w:pPr>
        <w:rPr>
          <w:rFonts w:ascii="Arial" w:hAnsi="Arial" w:cs="Arial"/>
          <w:sz w:val="20"/>
          <w:szCs w:val="20"/>
        </w:rPr>
      </w:pPr>
    </w:p>
    <w:p w14:paraId="32EAEE4F" w14:textId="77777777" w:rsidR="00E70C1F" w:rsidRPr="00F866F6" w:rsidRDefault="00E70C1F" w:rsidP="00E70C1F">
      <w:pPr>
        <w:tabs>
          <w:tab w:val="left" w:pos="1100"/>
        </w:tabs>
        <w:spacing w:before="0" w:after="200"/>
        <w:ind w:left="720"/>
        <w:rPr>
          <w:rFonts w:ascii="Arial" w:hAnsi="Arial" w:cs="Arial"/>
          <w:b/>
          <w:sz w:val="20"/>
          <w:szCs w:val="20"/>
        </w:rPr>
      </w:pPr>
    </w:p>
    <w:p w14:paraId="79C52C28" w14:textId="77777777" w:rsidR="00E70C1F" w:rsidRPr="00F866F6" w:rsidRDefault="00E70C1F" w:rsidP="00E70C1F">
      <w:pPr>
        <w:numPr>
          <w:ilvl w:val="0"/>
          <w:numId w:val="2"/>
        </w:numPr>
        <w:tabs>
          <w:tab w:val="left" w:pos="1100"/>
        </w:tabs>
        <w:spacing w:before="0" w:after="200" w:line="276" w:lineRule="auto"/>
        <w:rPr>
          <w:rFonts w:ascii="Arial" w:hAnsi="Arial" w:cs="Arial"/>
          <w:b/>
          <w:sz w:val="20"/>
          <w:szCs w:val="20"/>
        </w:rPr>
      </w:pPr>
      <w:r w:rsidRPr="00F866F6">
        <w:rPr>
          <w:rFonts w:ascii="Arial" w:hAnsi="Arial" w:cs="Arial"/>
          <w:b/>
          <w:sz w:val="20"/>
          <w:szCs w:val="20"/>
        </w:rPr>
        <w:t>First Line of Defense</w:t>
      </w:r>
    </w:p>
    <w:p w14:paraId="1C3BE41C" w14:textId="77777777" w:rsidR="00E70C1F" w:rsidRPr="00F866F6" w:rsidRDefault="00E70C1F" w:rsidP="00E70C1F">
      <w:pPr>
        <w:spacing w:before="0" w:after="200"/>
        <w:rPr>
          <w:rFonts w:ascii="Arial" w:hAnsi="Arial" w:cs="Arial"/>
          <w:sz w:val="20"/>
          <w:szCs w:val="20"/>
        </w:rPr>
      </w:pPr>
      <w:bookmarkStart w:id="48" w:name="_Hlk104560254"/>
      <w:r w:rsidRPr="00F866F6">
        <w:rPr>
          <w:rFonts w:ascii="Arial" w:hAnsi="Arial" w:cs="Arial"/>
          <w:sz w:val="20"/>
          <w:szCs w:val="20"/>
        </w:rPr>
        <w:t xml:space="preserve">The first line of defense (“first line”) owns the risks and associated controls inherent in, or arising from, the execution of their business activities and is responsible for identifying, measuring, monitoring, controlling, and reporting those risks </w:t>
      </w:r>
      <w:bookmarkEnd w:id="48"/>
      <w:r w:rsidRPr="00F866F6">
        <w:rPr>
          <w:rFonts w:ascii="Arial" w:hAnsi="Arial" w:cs="Arial"/>
          <w:sz w:val="20"/>
          <w:szCs w:val="20"/>
        </w:rPr>
        <w:t>consistent with Citi’s strategy, mission, value proposition, leadership principles and risk appetite.</w:t>
      </w:r>
      <w:r w:rsidRPr="00F866F6">
        <w:t xml:space="preserve"> </w:t>
      </w:r>
      <w:r w:rsidRPr="00F866F6">
        <w:rPr>
          <w:rFonts w:ascii="Arial" w:hAnsi="Arial" w:cs="Arial"/>
          <w:sz w:val="20"/>
          <w:szCs w:val="20"/>
        </w:rPr>
        <w:t>The key responsibilities of First Line of Defense are outlined in the ERMF. The first line of Defense is also subject to the oversight and challenge of IRM / ICRM.</w:t>
      </w:r>
    </w:p>
    <w:p w14:paraId="40AAB71A" w14:textId="77777777" w:rsidR="00E70C1F" w:rsidRPr="00F866F6" w:rsidRDefault="00E70C1F" w:rsidP="00E70C1F">
      <w:pPr>
        <w:spacing w:before="0" w:after="200"/>
        <w:rPr>
          <w:rFonts w:ascii="Arial" w:hAnsi="Arial" w:cs="Arial"/>
          <w:sz w:val="20"/>
          <w:szCs w:val="20"/>
        </w:rPr>
      </w:pPr>
      <w:r w:rsidRPr="00F866F6">
        <w:rPr>
          <w:rFonts w:ascii="Arial" w:hAnsi="Arial" w:cs="Arial"/>
          <w:sz w:val="20"/>
          <w:szCs w:val="20"/>
        </w:rPr>
        <w:t xml:space="preserve">In addition, the first line of defense includes the front-line unit activities of other organizational units. Front line units may also include enterprise support functions and/or conduct enterprise support activities. </w:t>
      </w:r>
    </w:p>
    <w:p w14:paraId="703F2B5F" w14:textId="77777777" w:rsidR="00E70C1F" w:rsidRPr="00F866F6" w:rsidRDefault="00E70C1F" w:rsidP="00E70C1F">
      <w:pPr>
        <w:spacing w:before="0" w:after="200"/>
        <w:rPr>
          <w:rFonts w:ascii="Arial" w:hAnsi="Arial" w:cs="Arial"/>
          <w:sz w:val="20"/>
          <w:szCs w:val="20"/>
        </w:rPr>
      </w:pPr>
    </w:p>
    <w:p w14:paraId="426FCDED" w14:textId="77777777" w:rsidR="00E70C1F" w:rsidRPr="00F866F6" w:rsidRDefault="00E70C1F" w:rsidP="00E70C1F">
      <w:pPr>
        <w:numPr>
          <w:ilvl w:val="0"/>
          <w:numId w:val="2"/>
        </w:numPr>
        <w:tabs>
          <w:tab w:val="left" w:pos="1100"/>
        </w:tabs>
        <w:spacing w:before="0" w:after="200" w:line="276" w:lineRule="auto"/>
        <w:rPr>
          <w:rFonts w:ascii="Arial" w:hAnsi="Arial" w:cs="Arial"/>
          <w:b/>
          <w:sz w:val="20"/>
          <w:szCs w:val="20"/>
        </w:rPr>
      </w:pPr>
      <w:r w:rsidRPr="00F866F6">
        <w:rPr>
          <w:rFonts w:ascii="Arial" w:hAnsi="Arial" w:cs="Arial"/>
          <w:b/>
          <w:sz w:val="20"/>
          <w:szCs w:val="20"/>
        </w:rPr>
        <w:t>Second Line of Defense</w:t>
      </w:r>
    </w:p>
    <w:p w14:paraId="563BE506" w14:textId="77777777" w:rsidR="00E70C1F" w:rsidRPr="00F866F6" w:rsidRDefault="00E70C1F" w:rsidP="00E70C1F">
      <w:pPr>
        <w:spacing w:before="200"/>
        <w:rPr>
          <w:rFonts w:ascii="Arial" w:hAnsi="Arial" w:cs="Arial"/>
          <w:bCs/>
          <w:sz w:val="20"/>
          <w:szCs w:val="20"/>
        </w:rPr>
      </w:pPr>
      <w:r w:rsidRPr="00F866F6">
        <w:rPr>
          <w:rFonts w:ascii="Arial" w:hAnsi="Arial" w:cs="Arial"/>
          <w:sz w:val="20"/>
          <w:szCs w:val="20"/>
        </w:rPr>
        <w:t xml:space="preserve">The second line of defense (“second line”) is comprised solely of IRM and ICRM. The second line is responsible for overseeing the risk-taking activities of the first line and challenging the first line in their execution of their risk management responsibilities. It is also responsible for independently identifying, measuring, monitoring, </w:t>
      </w:r>
      <w:proofErr w:type="gramStart"/>
      <w:r w:rsidRPr="00F866F6">
        <w:rPr>
          <w:rFonts w:ascii="Arial" w:hAnsi="Arial" w:cs="Arial"/>
          <w:sz w:val="20"/>
          <w:szCs w:val="20"/>
        </w:rPr>
        <w:t>controlling</w:t>
      </w:r>
      <w:proofErr w:type="gramEnd"/>
      <w:r w:rsidRPr="00F866F6">
        <w:rPr>
          <w:rFonts w:ascii="Arial" w:hAnsi="Arial" w:cs="Arial"/>
          <w:sz w:val="20"/>
          <w:szCs w:val="20"/>
        </w:rPr>
        <w:t xml:space="preserve"> and reporting aggregate risks and for setting standards for the management and oversight of risk.</w:t>
      </w:r>
      <w:r w:rsidRPr="00F866F6">
        <w:rPr>
          <w:rFonts w:ascii="Arial" w:hAnsi="Arial" w:cs="Arial"/>
          <w:bCs/>
          <w:sz w:val="20"/>
          <w:szCs w:val="20"/>
        </w:rPr>
        <w:t xml:space="preserve"> </w:t>
      </w:r>
      <w:r w:rsidRPr="00F866F6">
        <w:rPr>
          <w:rFonts w:ascii="Arial" w:hAnsi="Arial" w:cs="Arial"/>
          <w:sz w:val="20"/>
          <w:szCs w:val="20"/>
        </w:rPr>
        <w:t>The key responsibilities of second line are outlined in the ERMF.</w:t>
      </w:r>
    </w:p>
    <w:p w14:paraId="52CDEE8C" w14:textId="77777777" w:rsidR="00E70C1F" w:rsidRPr="00F866F6" w:rsidRDefault="00E70C1F" w:rsidP="00E70C1F">
      <w:pPr>
        <w:numPr>
          <w:ilvl w:val="0"/>
          <w:numId w:val="2"/>
        </w:numPr>
        <w:tabs>
          <w:tab w:val="left" w:pos="1100"/>
        </w:tabs>
        <w:spacing w:before="200" w:after="200" w:line="276" w:lineRule="auto"/>
        <w:rPr>
          <w:rFonts w:ascii="Arial" w:eastAsia="Arial" w:hAnsi="Arial" w:cs="Arial"/>
          <w:b/>
          <w:sz w:val="20"/>
          <w:szCs w:val="20"/>
          <w:lang w:val="en" w:eastAsia="en-US"/>
        </w:rPr>
      </w:pPr>
      <w:r w:rsidRPr="00F866F6">
        <w:rPr>
          <w:rFonts w:ascii="Arial" w:eastAsia="Arial" w:hAnsi="Arial" w:cs="Arial"/>
          <w:b/>
          <w:sz w:val="20"/>
          <w:szCs w:val="20"/>
          <w:lang w:val="en" w:eastAsia="en-US"/>
        </w:rPr>
        <w:t xml:space="preserve">Third Line of Defense </w:t>
      </w:r>
    </w:p>
    <w:p w14:paraId="414542C2" w14:textId="77777777" w:rsidR="00E70C1F" w:rsidRPr="00F866F6" w:rsidRDefault="00E70C1F" w:rsidP="00E70C1F">
      <w:pPr>
        <w:spacing w:before="200" w:after="200"/>
        <w:rPr>
          <w:rFonts w:ascii="Arial" w:hAnsi="Arial" w:cs="Arial"/>
          <w:sz w:val="20"/>
          <w:szCs w:val="20"/>
        </w:rPr>
      </w:pPr>
      <w:r w:rsidRPr="00F866F6">
        <w:rPr>
          <w:rFonts w:ascii="Arial" w:hAnsi="Arial" w:cs="Arial"/>
          <w:sz w:val="20"/>
          <w:szCs w:val="20"/>
        </w:rPr>
        <w:t xml:space="preserve">The third line of defense (“third line”) is comprised solely of Internal Audit. The role of Internal Audit, as set out in the Internal Audit Charter, is to provide independent, objective, reliable, </w:t>
      </w:r>
      <w:proofErr w:type="gramStart"/>
      <w:r w:rsidRPr="00F866F6">
        <w:rPr>
          <w:rFonts w:ascii="Arial" w:hAnsi="Arial" w:cs="Arial"/>
          <w:sz w:val="20"/>
          <w:szCs w:val="20"/>
        </w:rPr>
        <w:t>valued</w:t>
      </w:r>
      <w:proofErr w:type="gramEnd"/>
      <w:r w:rsidRPr="00F866F6">
        <w:rPr>
          <w:rFonts w:ascii="Arial" w:hAnsi="Arial" w:cs="Arial"/>
          <w:sz w:val="20"/>
          <w:szCs w:val="20"/>
        </w:rPr>
        <w:t xml:space="preserve"> and timely assurance to the Board, the Board Audit Committee, senior management and regulators over the effectiveness of governance, risk management and controls that mitigate current and evolving risks and enhance the control culture within Citi. The key Internal Audit responsibilities are outlined in the ERMF.</w:t>
      </w:r>
    </w:p>
    <w:p w14:paraId="191ED469" w14:textId="77777777" w:rsidR="00E70C1F" w:rsidRPr="00F866F6" w:rsidRDefault="00E70C1F" w:rsidP="00E70C1F">
      <w:pPr>
        <w:numPr>
          <w:ilvl w:val="0"/>
          <w:numId w:val="2"/>
        </w:numPr>
        <w:tabs>
          <w:tab w:val="left" w:pos="1100"/>
        </w:tabs>
        <w:spacing w:before="200" w:after="200" w:line="276" w:lineRule="auto"/>
        <w:rPr>
          <w:rFonts w:ascii="Arial" w:eastAsia="Arial" w:hAnsi="Arial" w:cs="Arial"/>
          <w:b/>
          <w:sz w:val="20"/>
          <w:szCs w:val="20"/>
          <w:lang w:val="en" w:eastAsia="en-US"/>
        </w:rPr>
      </w:pPr>
      <w:r w:rsidRPr="00F866F6">
        <w:rPr>
          <w:rFonts w:ascii="Arial" w:eastAsia="Arial" w:hAnsi="Arial" w:cs="Arial"/>
          <w:b/>
          <w:sz w:val="20"/>
          <w:szCs w:val="20"/>
          <w:lang w:val="en" w:eastAsia="en-US"/>
        </w:rPr>
        <w:t>Enterprise Support Functions</w:t>
      </w:r>
    </w:p>
    <w:p w14:paraId="4EC78202" w14:textId="77777777" w:rsidR="00E70C1F" w:rsidRPr="00F866F6" w:rsidRDefault="00E70C1F" w:rsidP="00E70C1F">
      <w:pPr>
        <w:spacing w:before="200" w:after="200"/>
        <w:rPr>
          <w:rFonts w:ascii="Arial" w:hAnsi="Arial" w:cs="Arial"/>
          <w:sz w:val="20"/>
          <w:szCs w:val="20"/>
        </w:rPr>
      </w:pPr>
      <w:r w:rsidRPr="00F866F6">
        <w:rPr>
          <w:rFonts w:ascii="Arial" w:hAnsi="Arial" w:cs="Arial"/>
          <w:sz w:val="20"/>
          <w:szCs w:val="20"/>
        </w:rPr>
        <w:t>Enterprise support functions are comprised of HR and Global Legal Affairs &amp; Compliance (exclusive of Compliance – i.e., ICRM, which is second line). Front line units may also include enterprise support functions and/or conduct enterprise support activities. Further details are provided in the ERMF.</w:t>
      </w:r>
    </w:p>
    <w:p w14:paraId="56D3539A" w14:textId="77777777" w:rsidR="00E70C1F" w:rsidRPr="00F866F6" w:rsidRDefault="00E70C1F" w:rsidP="00E70C1F">
      <w:pPr>
        <w:spacing w:before="200" w:after="200"/>
        <w:rPr>
          <w:rFonts w:ascii="Arial" w:hAnsi="Arial" w:cs="Arial"/>
          <w:sz w:val="20"/>
          <w:szCs w:val="20"/>
        </w:rPr>
      </w:pPr>
    </w:p>
    <w:p w14:paraId="043B22BA" w14:textId="77777777" w:rsidR="00E70C1F" w:rsidRPr="00F866F6" w:rsidRDefault="00E70C1F" w:rsidP="007D0EB4">
      <w:pPr>
        <w:pStyle w:val="Heading3"/>
        <w:numPr>
          <w:ilvl w:val="2"/>
          <w:numId w:val="18"/>
        </w:numPr>
        <w:ind w:left="720"/>
        <w:rPr>
          <w:rFonts w:ascii="Arial" w:hAnsi="Arial" w:cs="Arial"/>
          <w:color w:val="auto"/>
        </w:rPr>
      </w:pPr>
      <w:bookmarkStart w:id="49" w:name="_Toc135136710"/>
      <w:r w:rsidRPr="00F866F6">
        <w:rPr>
          <w:rFonts w:ascii="Arial" w:hAnsi="Arial" w:cs="Arial"/>
          <w:color w:val="auto"/>
        </w:rPr>
        <w:t>Policies, Standards and Procedures</w:t>
      </w:r>
      <w:bookmarkEnd w:id="49"/>
    </w:p>
    <w:p w14:paraId="6BAFDCA2" w14:textId="77777777" w:rsidR="00E70C1F" w:rsidRPr="00F866F6" w:rsidDel="008A0630" w:rsidRDefault="00E70C1F" w:rsidP="00E70C1F">
      <w:pPr>
        <w:rPr>
          <w:rFonts w:ascii="Arial" w:hAnsi="Arial" w:cs="Arial"/>
          <w:sz w:val="20"/>
          <w:szCs w:val="20"/>
        </w:rPr>
      </w:pPr>
      <w:bookmarkStart w:id="50" w:name="_Toc130808473"/>
      <w:bookmarkEnd w:id="50"/>
      <w:r w:rsidRPr="00F866F6">
        <w:rPr>
          <w:rFonts w:ascii="Arial" w:hAnsi="Arial" w:cs="Arial"/>
          <w:sz w:val="20"/>
          <w:szCs w:val="20"/>
        </w:rPr>
        <w:t xml:space="preserve">The Citibank Uganda Limited RMF is supported by a suite of risk management policy documents outlined in the ERMF to assist Citibank Uganda Limited in meeting its regulatory obligations and promote strong risk management practices across Citibank Uganda Limited. </w:t>
      </w:r>
    </w:p>
    <w:p w14:paraId="54B0335A" w14:textId="77777777" w:rsidR="00E70C1F" w:rsidRPr="00F866F6" w:rsidDel="008A0630" w:rsidRDefault="00E70C1F" w:rsidP="00E70C1F">
      <w:pPr>
        <w:rPr>
          <w:rFonts w:ascii="Arial" w:hAnsi="Arial" w:cs="Arial"/>
          <w:sz w:val="20"/>
          <w:szCs w:val="20"/>
        </w:rPr>
      </w:pPr>
      <w:r w:rsidRPr="00F866F6" w:rsidDel="008A0630">
        <w:rPr>
          <w:rFonts w:ascii="Arial" w:hAnsi="Arial" w:cs="Arial"/>
          <w:sz w:val="20"/>
          <w:szCs w:val="20"/>
        </w:rPr>
        <w:t xml:space="preserve">The term “policy documents” encompasses hierarchy includes frameworks, policies, standards, procedures, jurisdictional and legal entity addenda established in Citi’s Policy Governance Policy and the Policy Governance Standard. </w:t>
      </w:r>
      <w:r w:rsidRPr="00F866F6">
        <w:rPr>
          <w:rFonts w:ascii="Arial" w:hAnsi="Arial" w:cs="Arial"/>
          <w:sz w:val="20"/>
          <w:szCs w:val="20"/>
        </w:rPr>
        <w:t>B</w:t>
      </w:r>
      <w:r w:rsidRPr="00F866F6" w:rsidDel="008A0630">
        <w:rPr>
          <w:rFonts w:ascii="Arial" w:hAnsi="Arial" w:cs="Arial"/>
          <w:sz w:val="20"/>
          <w:szCs w:val="20"/>
        </w:rPr>
        <w:t xml:space="preserve">ut there may be instances where individual risk categories and risk programs require a framework to be in place, although this is not a mandated component of the policy hierarchy. </w:t>
      </w:r>
    </w:p>
    <w:p w14:paraId="06AEF152" w14:textId="77777777" w:rsidR="00E70C1F" w:rsidRPr="00F866F6" w:rsidDel="008A0630" w:rsidRDefault="00E70C1F" w:rsidP="00E70C1F">
      <w:pPr>
        <w:rPr>
          <w:rFonts w:ascii="Arial" w:hAnsi="Arial" w:cs="Arial"/>
          <w:sz w:val="20"/>
          <w:szCs w:val="20"/>
        </w:rPr>
      </w:pPr>
      <w:r w:rsidRPr="00F866F6" w:rsidDel="008A0630">
        <w:rPr>
          <w:rFonts w:ascii="Arial" w:hAnsi="Arial" w:cs="Arial"/>
          <w:sz w:val="20"/>
          <w:szCs w:val="20"/>
        </w:rPr>
        <w:t xml:space="preserve">Citi establishes Frameworks, Policies and Standards which state how aggregate risks at Citi are effectively identified, measured, monitored, </w:t>
      </w:r>
      <w:proofErr w:type="gramStart"/>
      <w:r w:rsidRPr="00F866F6" w:rsidDel="008A0630">
        <w:rPr>
          <w:rFonts w:ascii="Arial" w:hAnsi="Arial" w:cs="Arial"/>
          <w:sz w:val="20"/>
          <w:szCs w:val="20"/>
        </w:rPr>
        <w:t>controlled</w:t>
      </w:r>
      <w:proofErr w:type="gramEnd"/>
      <w:r w:rsidRPr="00F866F6" w:rsidDel="008A0630">
        <w:rPr>
          <w:rFonts w:ascii="Arial" w:hAnsi="Arial" w:cs="Arial"/>
          <w:sz w:val="20"/>
          <w:szCs w:val="20"/>
        </w:rPr>
        <w:t xml:space="preserve"> and reported, consistent with Citi’s risk appetite. Procedures set forth instructions for implementation and operation of processes or systems required by a Policy or Standard. Further details are provided in the ERMF.</w:t>
      </w:r>
      <w:r w:rsidRPr="00F866F6" w:rsidDel="008A0630">
        <w:rPr>
          <w:sz w:val="20"/>
          <w:szCs w:val="20"/>
        </w:rPr>
        <w:t xml:space="preserve"> </w:t>
      </w:r>
    </w:p>
    <w:p w14:paraId="6C1E02C6" w14:textId="77777777" w:rsidR="00BD2412" w:rsidRPr="006E32C1" w:rsidRDefault="00BD2412" w:rsidP="00BC5786">
      <w:pPr>
        <w:spacing w:before="0" w:after="160" w:line="259" w:lineRule="auto"/>
        <w:rPr>
          <w:rFonts w:ascii="Arial" w:hAnsi="Arial" w:cs="Arial"/>
          <w:lang w:val="en-US"/>
        </w:rPr>
      </w:pPr>
    </w:p>
    <w:p w14:paraId="14A2DAB7" w14:textId="77777777" w:rsidR="00CB6589" w:rsidRPr="006E32C1" w:rsidRDefault="002F0099" w:rsidP="007D0EB4">
      <w:pPr>
        <w:pStyle w:val="Heading2"/>
        <w:numPr>
          <w:ilvl w:val="0"/>
          <w:numId w:val="17"/>
        </w:numPr>
        <w:ind w:left="540" w:hanging="540"/>
        <w:rPr>
          <w:rFonts w:ascii="Arial" w:hAnsi="Arial" w:cs="Arial"/>
          <w:b/>
          <w:bCs/>
          <w:color w:val="auto"/>
          <w:sz w:val="24"/>
          <w:szCs w:val="24"/>
          <w:lang w:val="en-US"/>
        </w:rPr>
      </w:pPr>
      <w:bookmarkStart w:id="51" w:name="_Toc130808474"/>
      <w:bookmarkStart w:id="52" w:name="_Toc134525214"/>
      <w:r w:rsidRPr="006E32C1">
        <w:rPr>
          <w:rFonts w:ascii="Arial" w:hAnsi="Arial" w:cs="Arial"/>
          <w:b/>
          <w:bCs/>
          <w:color w:val="auto"/>
          <w:sz w:val="24"/>
          <w:szCs w:val="24"/>
          <w:lang w:val="en-US"/>
        </w:rPr>
        <w:t>Risk Taxonomy</w:t>
      </w:r>
      <w:bookmarkEnd w:id="51"/>
      <w:bookmarkEnd w:id="52"/>
    </w:p>
    <w:p w14:paraId="20D432E3" w14:textId="54A6F7D7" w:rsidR="00D4274B" w:rsidRPr="006E32C1" w:rsidRDefault="00EB2919" w:rsidP="007D0EB4">
      <w:pPr>
        <w:pStyle w:val="Heading3"/>
        <w:numPr>
          <w:ilvl w:val="2"/>
          <w:numId w:val="20"/>
        </w:numPr>
        <w:ind w:left="720"/>
        <w:rPr>
          <w:rFonts w:ascii="Arial" w:hAnsi="Arial" w:cs="Arial"/>
          <w:color w:val="auto"/>
          <w:lang w:val="en-US"/>
        </w:rPr>
      </w:pPr>
      <w:bookmarkStart w:id="53" w:name="_Toc130808475"/>
      <w:bookmarkStart w:id="54" w:name="_Toc134525215"/>
      <w:r w:rsidRPr="006E32C1">
        <w:rPr>
          <w:rFonts w:ascii="Arial" w:hAnsi="Arial" w:cs="Arial"/>
          <w:color w:val="auto"/>
          <w:lang w:val="en-US"/>
        </w:rPr>
        <w:t>Risk Categories</w:t>
      </w:r>
      <w:bookmarkEnd w:id="53"/>
      <w:bookmarkEnd w:id="54"/>
    </w:p>
    <w:p w14:paraId="66D4EAE5" w14:textId="77777777" w:rsidR="00E00A20" w:rsidRPr="00F866F6" w:rsidRDefault="00E00A20" w:rsidP="00E00A20">
      <w:pPr>
        <w:rPr>
          <w:rFonts w:ascii="Arial" w:hAnsi="Arial" w:cs="Arial"/>
          <w:sz w:val="20"/>
          <w:szCs w:val="20"/>
          <w:lang w:val="en-US" w:eastAsia="en-US"/>
        </w:rPr>
      </w:pPr>
      <w:bookmarkStart w:id="55" w:name="_Toc80352393"/>
      <w:bookmarkStart w:id="56" w:name="_Toc80352394"/>
      <w:bookmarkStart w:id="57" w:name="_Toc80352395"/>
      <w:bookmarkEnd w:id="55"/>
      <w:bookmarkEnd w:id="56"/>
      <w:bookmarkEnd w:id="57"/>
      <w:r w:rsidRPr="00F866F6">
        <w:rPr>
          <w:rFonts w:ascii="Arial" w:hAnsi="Arial" w:cs="Arial"/>
          <w:sz w:val="20"/>
          <w:szCs w:val="20"/>
          <w:lang w:val="en-US" w:eastAsia="en-US"/>
        </w:rPr>
        <w:t xml:space="preserve">Citi’s Risk Taxonomy classifies risk into separate Risk Categories, </w:t>
      </w:r>
      <w:proofErr w:type="gramStart"/>
      <w:r w:rsidRPr="00F866F6">
        <w:rPr>
          <w:rFonts w:ascii="Arial" w:hAnsi="Arial" w:cs="Arial"/>
          <w:sz w:val="20"/>
          <w:szCs w:val="20"/>
          <w:lang w:val="en-US" w:eastAsia="en-US"/>
        </w:rPr>
        <w:t>and also</w:t>
      </w:r>
      <w:proofErr w:type="gramEnd"/>
      <w:r w:rsidRPr="00F866F6">
        <w:rPr>
          <w:rFonts w:ascii="Arial" w:hAnsi="Arial" w:cs="Arial"/>
          <w:sz w:val="20"/>
          <w:szCs w:val="20"/>
          <w:lang w:val="en-US" w:eastAsia="en-US"/>
        </w:rPr>
        <w:t xml:space="preserve"> includes more granular sub-categories under each risk category. Below are summary definitions of primary Risk Categories per ERMF as well as their underlying Risk Category policies.</w:t>
      </w:r>
    </w:p>
    <w:p w14:paraId="11444B74" w14:textId="77777777" w:rsidR="00E00A20" w:rsidRPr="00F866F6" w:rsidRDefault="00E00A20" w:rsidP="00E00A20">
      <w:pPr>
        <w:rPr>
          <w:rFonts w:ascii="Arial" w:hAnsi="Arial" w:cs="Arial"/>
          <w:sz w:val="20"/>
          <w:szCs w:val="20"/>
          <w:lang w:val="en-US" w:eastAsia="en-US"/>
        </w:rPr>
      </w:pPr>
    </w:p>
    <w:p w14:paraId="040F6913" w14:textId="77777777" w:rsidR="00E00A20" w:rsidRPr="00356886" w:rsidRDefault="00E00A20" w:rsidP="007D0EB4">
      <w:pPr>
        <w:pStyle w:val="Heading4"/>
        <w:numPr>
          <w:ilvl w:val="0"/>
          <w:numId w:val="21"/>
        </w:numPr>
        <w:ind w:left="1440" w:hanging="1080"/>
        <w:rPr>
          <w:rFonts w:ascii="Arial" w:hAnsi="Arial" w:cs="Arial"/>
          <w:color w:val="auto"/>
        </w:rPr>
      </w:pPr>
      <w:r w:rsidRPr="00356886">
        <w:rPr>
          <w:rFonts w:ascii="Arial" w:hAnsi="Arial" w:cs="Arial"/>
          <w:i w:val="0"/>
          <w:iCs w:val="0"/>
          <w:color w:val="auto"/>
        </w:rPr>
        <w:t>Credit Risk</w:t>
      </w:r>
      <w:r w:rsidRPr="00356886">
        <w:rPr>
          <w:rFonts w:ascii="Arial" w:hAnsi="Arial" w:cs="Arial"/>
          <w:color w:val="auto"/>
        </w:rPr>
        <w:t xml:space="preserve"> </w:t>
      </w:r>
    </w:p>
    <w:p w14:paraId="5E3EBFC3" w14:textId="77777777" w:rsidR="00E00A20" w:rsidRPr="00F866F6" w:rsidRDefault="00E00A20" w:rsidP="00E00A20">
      <w:pPr>
        <w:ind w:left="360"/>
        <w:rPr>
          <w:rFonts w:ascii="Arial" w:hAnsi="Arial" w:cs="Arial"/>
          <w:strike/>
          <w:sz w:val="20"/>
          <w:szCs w:val="20"/>
        </w:rPr>
      </w:pPr>
      <w:r w:rsidRPr="00F866F6">
        <w:rPr>
          <w:rFonts w:ascii="Arial" w:hAnsi="Arial" w:cs="Arial"/>
          <w:sz w:val="20"/>
          <w:szCs w:val="20"/>
        </w:rPr>
        <w:t>Credit Risk is defined in the ERMF as the risk of loss resulting from the decline in credit quality (or downgrade risk) or failure of a borrower, counterparty, third party or issuer to honour its financial or contractual obligations. The policy governing Credit Risk is Wholesale Credit Risk Policy (“WCR”).</w:t>
      </w:r>
    </w:p>
    <w:p w14:paraId="284F8F15" w14:textId="77777777" w:rsidR="00E00A20" w:rsidRPr="00F866F6" w:rsidRDefault="00E00A20" w:rsidP="00E00A20">
      <w:pPr>
        <w:ind w:left="360"/>
        <w:rPr>
          <w:rFonts w:ascii="Arial" w:hAnsi="Arial" w:cs="Arial"/>
          <w:sz w:val="20"/>
          <w:szCs w:val="20"/>
        </w:rPr>
      </w:pPr>
    </w:p>
    <w:p w14:paraId="0F30DA0B" w14:textId="77777777" w:rsidR="00E00A20" w:rsidRPr="00F866F6" w:rsidRDefault="00E00A20" w:rsidP="00E00A20">
      <w:pPr>
        <w:ind w:left="360"/>
        <w:rPr>
          <w:rFonts w:ascii="Arial" w:hAnsi="Arial" w:cs="Arial"/>
          <w:sz w:val="20"/>
          <w:szCs w:val="20"/>
        </w:rPr>
      </w:pPr>
    </w:p>
    <w:p w14:paraId="6029A16D" w14:textId="77777777" w:rsidR="00E00A20" w:rsidRPr="00356886" w:rsidRDefault="00E00A20" w:rsidP="007D0EB4">
      <w:pPr>
        <w:pStyle w:val="Heading4"/>
        <w:numPr>
          <w:ilvl w:val="0"/>
          <w:numId w:val="21"/>
        </w:numPr>
        <w:ind w:left="1440" w:hanging="1080"/>
        <w:rPr>
          <w:rFonts w:ascii="Arial" w:hAnsi="Arial" w:cs="Arial"/>
          <w:color w:val="auto"/>
        </w:rPr>
      </w:pPr>
      <w:r w:rsidRPr="00356886">
        <w:rPr>
          <w:rFonts w:ascii="Arial" w:hAnsi="Arial" w:cs="Arial"/>
          <w:i w:val="0"/>
          <w:iCs w:val="0"/>
          <w:color w:val="auto"/>
        </w:rPr>
        <w:t>Trading Market Risk</w:t>
      </w:r>
    </w:p>
    <w:p w14:paraId="3822ACBD" w14:textId="77777777" w:rsidR="00E00A20" w:rsidRPr="00F866F6" w:rsidRDefault="00E00A20" w:rsidP="00E00A20">
      <w:pPr>
        <w:rPr>
          <w:rFonts w:ascii="Arial" w:hAnsi="Arial" w:cs="Arial"/>
          <w:sz w:val="20"/>
          <w:szCs w:val="20"/>
        </w:rPr>
      </w:pPr>
      <w:r w:rsidRPr="00F866F6">
        <w:rPr>
          <w:rFonts w:ascii="Arial" w:eastAsiaTheme="majorEastAsia" w:hAnsi="Arial" w:cs="Arial"/>
          <w:i/>
          <w:iCs/>
          <w:sz w:val="20"/>
          <w:szCs w:val="20"/>
        </w:rPr>
        <w:t>Market Risk (Trading) (or “Trading Market Risk</w:t>
      </w:r>
      <w:r w:rsidRPr="00F866F6">
        <w:rPr>
          <w:rFonts w:ascii="Arial" w:hAnsi="Arial" w:cs="Arial"/>
          <w:sz w:val="20"/>
          <w:szCs w:val="20"/>
        </w:rPr>
        <w:t xml:space="preserve">”) is defined in the ERMF as the risk of economic or trading loss arising from changes in the value of Citi’s assets and liabilities resulting from changes in market variables, such as interest rates, equity and commodity prices, FX, or credit spreads. Market Risk (Trading) coverage is on a mark-to market risk metrics rather than Non-Trading market risk metrics of accumulated other comprehensive Income (“AOCI”), economic value of equity (“EVE”), &amp; net interest revenue (“NIR”). Price Risk equates to Market Risk (Trading), as defined above plus the Financial Statement Reporting Risks associated with independent price verification and profit attribution analysis captured under the Operational Risk category. </w:t>
      </w:r>
    </w:p>
    <w:p w14:paraId="254995D8" w14:textId="77777777" w:rsidR="00E00A20" w:rsidRPr="00F866F6" w:rsidRDefault="00E00A20" w:rsidP="00E00A20">
      <w:pPr>
        <w:rPr>
          <w:rFonts w:ascii="Arial" w:hAnsi="Arial" w:cs="Arial"/>
          <w:sz w:val="20"/>
          <w:szCs w:val="20"/>
        </w:rPr>
      </w:pPr>
      <w:r w:rsidRPr="00F866F6">
        <w:rPr>
          <w:rFonts w:ascii="Arial" w:hAnsi="Arial" w:cs="Arial"/>
          <w:sz w:val="20"/>
          <w:szCs w:val="20"/>
        </w:rPr>
        <w:t>The Citi Mark to Market Risk Policy (“MTM Risk Policy”) articulates principles and key requirements for identifying, measuring, monitoring, managing and reporting Mark-to-Market (“MTM”) risk.</w:t>
      </w:r>
    </w:p>
    <w:p w14:paraId="13064861" w14:textId="77777777" w:rsidR="00E00A20" w:rsidRPr="00F866F6" w:rsidRDefault="00E00A20" w:rsidP="00E00A20">
      <w:pPr>
        <w:ind w:left="360"/>
        <w:rPr>
          <w:rFonts w:ascii="Arial" w:hAnsi="Arial" w:cs="Arial"/>
          <w:sz w:val="20"/>
          <w:szCs w:val="20"/>
        </w:rPr>
      </w:pPr>
    </w:p>
    <w:p w14:paraId="73135A99" w14:textId="77777777" w:rsidR="00E00A20" w:rsidRPr="00356886" w:rsidRDefault="00E00A20" w:rsidP="007D0EB4">
      <w:pPr>
        <w:pStyle w:val="Heading4"/>
        <w:numPr>
          <w:ilvl w:val="0"/>
          <w:numId w:val="21"/>
        </w:numPr>
        <w:ind w:left="1440" w:hanging="1080"/>
        <w:rPr>
          <w:rFonts w:ascii="Arial" w:hAnsi="Arial" w:cs="Arial"/>
          <w:color w:val="auto"/>
        </w:rPr>
      </w:pPr>
      <w:r w:rsidRPr="00356886">
        <w:rPr>
          <w:rFonts w:ascii="Arial" w:hAnsi="Arial" w:cs="Arial"/>
          <w:i w:val="0"/>
          <w:iCs w:val="0"/>
          <w:color w:val="auto"/>
        </w:rPr>
        <w:t>Non-Trading Market Risk</w:t>
      </w:r>
      <w:r w:rsidRPr="00356886">
        <w:rPr>
          <w:rFonts w:ascii="Arial" w:hAnsi="Arial" w:cs="Arial"/>
          <w:color w:val="auto"/>
        </w:rPr>
        <w:t xml:space="preserve"> </w:t>
      </w:r>
    </w:p>
    <w:p w14:paraId="4887839C" w14:textId="77777777" w:rsidR="00E00A20" w:rsidRPr="00F866F6" w:rsidRDefault="00E00A20" w:rsidP="00E00A20">
      <w:pPr>
        <w:rPr>
          <w:rFonts w:ascii="Arial" w:hAnsi="Arial" w:cs="Arial"/>
          <w:sz w:val="20"/>
          <w:szCs w:val="20"/>
        </w:rPr>
      </w:pPr>
      <w:r w:rsidRPr="00F866F6">
        <w:rPr>
          <w:rFonts w:ascii="Arial" w:hAnsi="Arial" w:cs="Arial"/>
          <w:sz w:val="20"/>
          <w:szCs w:val="20"/>
        </w:rPr>
        <w:t>Market Risk (Non-Trading) (or “Non-Trading Market Risk”) is defined in the ERMF as the risk of adverse changes in market variables such as interest rates, foreign exchange rates, credit spreads, and equity prices on Citi’s NIR, EVE, or AOCI. The management of Non-Trading Market Risk is governed by Citi's Non-Trading Market Risk Policy.</w:t>
      </w:r>
    </w:p>
    <w:p w14:paraId="11D0E465" w14:textId="77777777" w:rsidR="00E00A20" w:rsidRPr="00F866F6" w:rsidRDefault="00E00A20" w:rsidP="00E00A20">
      <w:pPr>
        <w:ind w:left="360"/>
        <w:rPr>
          <w:rFonts w:ascii="Arial" w:hAnsi="Arial" w:cs="Arial"/>
          <w:sz w:val="20"/>
          <w:szCs w:val="20"/>
        </w:rPr>
      </w:pPr>
    </w:p>
    <w:p w14:paraId="15D6BFAD" w14:textId="77777777" w:rsidR="00E00A20" w:rsidRPr="00356886" w:rsidRDefault="00E00A20" w:rsidP="007D0EB4">
      <w:pPr>
        <w:pStyle w:val="Heading4"/>
        <w:numPr>
          <w:ilvl w:val="0"/>
          <w:numId w:val="21"/>
        </w:numPr>
        <w:ind w:left="1440" w:hanging="1080"/>
        <w:rPr>
          <w:rFonts w:ascii="Arial" w:hAnsi="Arial" w:cs="Arial"/>
          <w:color w:val="auto"/>
        </w:rPr>
      </w:pPr>
      <w:r w:rsidRPr="00356886">
        <w:rPr>
          <w:rFonts w:ascii="Arial" w:hAnsi="Arial" w:cs="Arial"/>
          <w:i w:val="0"/>
          <w:iCs w:val="0"/>
          <w:color w:val="auto"/>
        </w:rPr>
        <w:t>Liquidity Risk</w:t>
      </w:r>
      <w:r w:rsidRPr="00356886">
        <w:rPr>
          <w:rFonts w:ascii="Arial" w:hAnsi="Arial" w:cs="Arial"/>
          <w:color w:val="auto"/>
        </w:rPr>
        <w:t xml:space="preserve"> </w:t>
      </w:r>
    </w:p>
    <w:p w14:paraId="6A84002D"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Liquidity Risk is defined in the ERMF, as the risk that Citi will not be able to efficiently meet both expected and unexpected current and future cash flows and collateral needs without adversely affecting either daily operations or financial condition of Citi.</w:t>
      </w:r>
    </w:p>
    <w:p w14:paraId="65079E41" w14:textId="77777777" w:rsidR="00E00A20" w:rsidRDefault="00E00A20" w:rsidP="00E00A20">
      <w:pPr>
        <w:ind w:left="360"/>
        <w:rPr>
          <w:rFonts w:ascii="Arial" w:hAnsi="Arial" w:cs="Arial"/>
          <w:sz w:val="20"/>
          <w:szCs w:val="20"/>
        </w:rPr>
      </w:pPr>
      <w:r w:rsidRPr="00F866F6">
        <w:rPr>
          <w:rFonts w:ascii="Arial" w:hAnsi="Arial" w:cs="Arial"/>
          <w:sz w:val="20"/>
          <w:szCs w:val="20"/>
        </w:rPr>
        <w:t>The management of Liquidity Risk is governed by Citi's Liquidity Risk Management Policy (“LRM Policy”), which sets forth the minimum requirements for identifying, measuring, monitoring, controlling and reporting Liquidity Risk consistent with Citi’s risk appetite.  The LRM Policy establishes the framework for sound management of Citi’s Liquidity Risk to facilitate</w:t>
      </w:r>
      <w:r w:rsidRPr="00F866F6" w:rsidDel="00CD6D72">
        <w:rPr>
          <w:rFonts w:ascii="Arial" w:hAnsi="Arial" w:cs="Arial"/>
          <w:sz w:val="20"/>
          <w:szCs w:val="20"/>
        </w:rPr>
        <w:t xml:space="preserve"> </w:t>
      </w:r>
      <w:r w:rsidRPr="00F866F6">
        <w:rPr>
          <w:rFonts w:ascii="Arial" w:hAnsi="Arial" w:cs="Arial"/>
          <w:sz w:val="20"/>
          <w:szCs w:val="20"/>
        </w:rPr>
        <w:t>the transparency and comparability of Liquidity Risk-taking activities</w:t>
      </w:r>
      <w:r>
        <w:rPr>
          <w:rFonts w:ascii="Arial" w:hAnsi="Arial" w:cs="Arial"/>
          <w:sz w:val="20"/>
          <w:szCs w:val="20"/>
        </w:rPr>
        <w:t xml:space="preserve"> </w:t>
      </w:r>
      <w:r w:rsidRPr="00F866F6">
        <w:rPr>
          <w:rFonts w:ascii="Arial" w:hAnsi="Arial" w:cs="Arial"/>
          <w:sz w:val="20"/>
          <w:szCs w:val="20"/>
        </w:rPr>
        <w:t>and to ensure Citi maintains sufficient liquidity, including a cushion of unencumbered, high quality liquid assets, to withstand a range of stress events including those involving the loss or impairment of both unsecured and secured funding sources</w:t>
      </w:r>
      <w:r>
        <w:rPr>
          <w:rFonts w:ascii="Arial" w:hAnsi="Arial" w:cs="Arial"/>
          <w:sz w:val="20"/>
          <w:szCs w:val="20"/>
        </w:rPr>
        <w:t>.</w:t>
      </w:r>
    </w:p>
    <w:p w14:paraId="704F10A2" w14:textId="77777777" w:rsidR="00E00A20" w:rsidRPr="00F866F6" w:rsidRDefault="00E00A20" w:rsidP="00E00A20">
      <w:pPr>
        <w:ind w:left="360"/>
        <w:rPr>
          <w:rFonts w:ascii="Arial" w:hAnsi="Arial" w:cs="Arial"/>
          <w:sz w:val="20"/>
          <w:szCs w:val="20"/>
        </w:rPr>
      </w:pPr>
    </w:p>
    <w:p w14:paraId="243DFBB5" w14:textId="77777777" w:rsidR="00E00A20" w:rsidRPr="00356886" w:rsidRDefault="00E00A20" w:rsidP="007D0EB4">
      <w:pPr>
        <w:pStyle w:val="Heading4"/>
        <w:numPr>
          <w:ilvl w:val="0"/>
          <w:numId w:val="21"/>
        </w:numPr>
        <w:ind w:left="1440" w:hanging="1080"/>
        <w:rPr>
          <w:rFonts w:ascii="Arial" w:hAnsi="Arial" w:cs="Arial"/>
          <w:color w:val="auto"/>
        </w:rPr>
      </w:pPr>
      <w:r w:rsidRPr="00356886">
        <w:rPr>
          <w:rFonts w:ascii="Arial" w:hAnsi="Arial" w:cs="Arial"/>
          <w:i w:val="0"/>
          <w:iCs w:val="0"/>
          <w:color w:val="auto"/>
        </w:rPr>
        <w:t>Strategic Risk</w:t>
      </w:r>
      <w:r w:rsidRPr="00356886">
        <w:rPr>
          <w:rFonts w:ascii="Arial" w:hAnsi="Arial" w:cs="Arial"/>
          <w:color w:val="auto"/>
        </w:rPr>
        <w:t xml:space="preserve"> </w:t>
      </w:r>
    </w:p>
    <w:p w14:paraId="78EE151C" w14:textId="77777777" w:rsidR="00E00A20" w:rsidRPr="00F866F6" w:rsidRDefault="00E00A20" w:rsidP="00E00A20">
      <w:pPr>
        <w:pStyle w:val="BODYSTYLE"/>
        <w:tabs>
          <w:tab w:val="left" w:pos="360"/>
        </w:tabs>
        <w:ind w:left="360"/>
        <w:rPr>
          <w:rFonts w:eastAsia="Arial"/>
          <w:noProof/>
          <w:color w:val="auto"/>
          <w:szCs w:val="20"/>
          <w:lang w:val="en-GB"/>
        </w:rPr>
      </w:pPr>
      <w:r w:rsidRPr="00F866F6">
        <w:rPr>
          <w:rFonts w:eastAsia="Arial"/>
          <w:noProof/>
          <w:color w:val="auto"/>
          <w:szCs w:val="20"/>
        </w:rPr>
        <w:t>Strategic Risk is defined as t</w:t>
      </w:r>
      <w:r w:rsidRPr="00F866F6">
        <w:rPr>
          <w:rFonts w:eastAsia="Arial"/>
          <w:noProof/>
          <w:color w:val="auto"/>
          <w:szCs w:val="20"/>
          <w:lang w:val="en-GB"/>
        </w:rPr>
        <w:t xml:space="preserve">he risk of a sustained impact (not episodic impact) to the firm’s core strategic objectives as measured by impacts on anticipated earnings, market capitalization, or capital, arising from the external factors affecting the firm’s operating environment; as well as the risks associated with defining the strategy </w:t>
      </w:r>
      <w:r w:rsidRPr="00F866F6">
        <w:rPr>
          <w:rFonts w:eastAsia="Arial"/>
          <w:color w:val="auto"/>
          <w:szCs w:val="20"/>
          <w:lang w:val="en-GB"/>
        </w:rPr>
        <w:t>(e.g., incorrect or faulty assumptions, appropriate governance) and executing the strategy (e.g., inadequate talent, poor implementation, lack of responsiveness to changes),</w:t>
      </w:r>
      <w:r w:rsidRPr="00F866F6">
        <w:rPr>
          <w:rFonts w:eastAsia="Arial"/>
          <w:noProof/>
          <w:color w:val="auto"/>
          <w:szCs w:val="20"/>
          <w:lang w:val="en-GB"/>
        </w:rPr>
        <w:t>, which are identified, measured and managed as part of the Strategic Risk Framework at the Enterprise Level.</w:t>
      </w:r>
    </w:p>
    <w:p w14:paraId="60ACC283" w14:textId="77777777" w:rsidR="00E00A20" w:rsidRPr="00F866F6" w:rsidRDefault="00E00A20" w:rsidP="00E00A20">
      <w:pPr>
        <w:pStyle w:val="BODYSTYLE"/>
        <w:tabs>
          <w:tab w:val="left" w:pos="360"/>
        </w:tabs>
        <w:ind w:left="360"/>
        <w:rPr>
          <w:rFonts w:eastAsia="Arial"/>
          <w:noProof/>
          <w:color w:val="auto"/>
          <w:szCs w:val="20"/>
        </w:rPr>
      </w:pPr>
      <w:r w:rsidRPr="00F866F6">
        <w:rPr>
          <w:color w:val="auto"/>
        </w:rPr>
        <w:t xml:space="preserve">For Citibank Uganda, </w:t>
      </w:r>
      <w:r w:rsidRPr="00F866F6">
        <w:rPr>
          <w:rFonts w:eastAsia="Arial"/>
          <w:noProof/>
          <w:color w:val="auto"/>
          <w:szCs w:val="20"/>
        </w:rPr>
        <w:t>the Board is responsible for development of the strategy, and senior management is responsible for effective implementation.</w:t>
      </w:r>
    </w:p>
    <w:p w14:paraId="5EAF18CB" w14:textId="77777777" w:rsidR="00E00A20" w:rsidRPr="00F866F6" w:rsidRDefault="00E00A20" w:rsidP="00E00A20">
      <w:pPr>
        <w:tabs>
          <w:tab w:val="left" w:pos="360"/>
        </w:tabs>
        <w:ind w:left="360"/>
        <w:rPr>
          <w:rFonts w:ascii="Arial" w:hAnsi="Arial" w:cs="Arial"/>
          <w:sz w:val="20"/>
          <w:szCs w:val="20"/>
        </w:rPr>
      </w:pPr>
      <w:r w:rsidRPr="00F866F6">
        <w:rPr>
          <w:rFonts w:ascii="Arial" w:hAnsi="Arial" w:cs="Arial"/>
          <w:sz w:val="20"/>
          <w:szCs w:val="20"/>
        </w:rPr>
        <w:t xml:space="preserve">The CCC serves as the country-level committee to govern Strategic Risk. </w:t>
      </w:r>
    </w:p>
    <w:p w14:paraId="7E571196" w14:textId="77777777" w:rsidR="00E00A20" w:rsidRPr="00F866F6" w:rsidRDefault="00E00A20" w:rsidP="00E00A20">
      <w:pPr>
        <w:ind w:left="360"/>
        <w:rPr>
          <w:rFonts w:ascii="Arial" w:hAnsi="Arial" w:cs="Arial"/>
          <w:sz w:val="20"/>
          <w:szCs w:val="20"/>
        </w:rPr>
      </w:pPr>
    </w:p>
    <w:p w14:paraId="6D4AB2A2" w14:textId="77777777" w:rsidR="00E00A20" w:rsidRPr="00356886" w:rsidRDefault="00E00A20" w:rsidP="007D0EB4">
      <w:pPr>
        <w:pStyle w:val="Heading4"/>
        <w:numPr>
          <w:ilvl w:val="0"/>
          <w:numId w:val="21"/>
        </w:numPr>
        <w:ind w:left="1440" w:hanging="1080"/>
        <w:rPr>
          <w:rFonts w:ascii="Arial" w:hAnsi="Arial" w:cs="Arial"/>
          <w:color w:val="auto"/>
        </w:rPr>
      </w:pPr>
      <w:r w:rsidRPr="00356886">
        <w:rPr>
          <w:rFonts w:ascii="Arial" w:hAnsi="Arial" w:cs="Arial"/>
          <w:i w:val="0"/>
          <w:iCs w:val="0"/>
          <w:color w:val="auto"/>
        </w:rPr>
        <w:t>Operational Risk</w:t>
      </w:r>
      <w:r w:rsidRPr="00356886">
        <w:rPr>
          <w:rFonts w:ascii="Arial" w:hAnsi="Arial" w:cs="Arial"/>
          <w:color w:val="auto"/>
        </w:rPr>
        <w:t xml:space="preserve"> </w:t>
      </w:r>
    </w:p>
    <w:p w14:paraId="65B3D687"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Operational Risk is defined in the </w:t>
      </w:r>
      <w:r w:rsidRPr="00F866F6">
        <w:rPr>
          <w:rFonts w:ascii="Arial" w:eastAsia="Arial" w:hAnsi="Arial" w:cs="Arial"/>
          <w:noProof/>
          <w:sz w:val="20"/>
          <w:szCs w:val="20"/>
        </w:rPr>
        <w:t xml:space="preserve">ERMF </w:t>
      </w:r>
      <w:r w:rsidRPr="00F866F6">
        <w:rPr>
          <w:rFonts w:ascii="Arial" w:hAnsi="Arial" w:cs="Arial"/>
          <w:sz w:val="20"/>
          <w:szCs w:val="20"/>
        </w:rPr>
        <w:t xml:space="preserve">as the risk of loss resulting from inadequate or failed internal processes, </w:t>
      </w:r>
      <w:proofErr w:type="gramStart"/>
      <w:r w:rsidRPr="00F866F6">
        <w:rPr>
          <w:rFonts w:ascii="Arial" w:hAnsi="Arial" w:cs="Arial"/>
          <w:sz w:val="20"/>
          <w:szCs w:val="20"/>
        </w:rPr>
        <w:t>people</w:t>
      </w:r>
      <w:proofErr w:type="gramEnd"/>
      <w:r w:rsidRPr="00F866F6">
        <w:rPr>
          <w:rFonts w:ascii="Arial" w:hAnsi="Arial" w:cs="Arial"/>
          <w:sz w:val="20"/>
          <w:szCs w:val="20"/>
        </w:rPr>
        <w:t xml:space="preserve"> and systems, or from external events. This definition of Operational Risk includes legal risk – which is the risk of loss (including litigation costs, settlements, and regulatory fines) resulting from the failure of Citi to comply with laws, regulations, prudent ethical standards, and contractual obligations in any aspect of Citi’s business – but excludes strategic and reputation risks. Citi also recognises the impact of Operational Risk on the Reputation Risk associated with Citi’s business activities.</w:t>
      </w:r>
    </w:p>
    <w:p w14:paraId="3F39E59D"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The Operational Risk Management (“ORM”) Policy enables effective management of Operational Risks across Citi., by amongst other things bringing or maintaining Operational Risk exposures within operational Risk Appetite and adhering to regulatory requirements.</w:t>
      </w:r>
    </w:p>
    <w:p w14:paraId="2B2A9972" w14:textId="77777777" w:rsidR="00E00A20" w:rsidRPr="00F866F6" w:rsidRDefault="00E00A20" w:rsidP="00E00A20">
      <w:pPr>
        <w:ind w:left="360"/>
        <w:rPr>
          <w:rFonts w:ascii="Arial" w:hAnsi="Arial" w:cs="Arial"/>
          <w:sz w:val="20"/>
          <w:szCs w:val="20"/>
        </w:rPr>
      </w:pPr>
    </w:p>
    <w:p w14:paraId="1C4D62FD" w14:textId="77777777" w:rsidR="00E00A20" w:rsidRPr="00356886" w:rsidRDefault="00E00A20" w:rsidP="007D0EB4">
      <w:pPr>
        <w:pStyle w:val="Heading4"/>
        <w:numPr>
          <w:ilvl w:val="0"/>
          <w:numId w:val="21"/>
        </w:numPr>
        <w:ind w:left="1440" w:hanging="1080"/>
        <w:rPr>
          <w:rFonts w:ascii="Arial" w:hAnsi="Arial" w:cs="Arial"/>
          <w:color w:val="auto"/>
        </w:rPr>
      </w:pPr>
      <w:r w:rsidRPr="00356886">
        <w:rPr>
          <w:rFonts w:ascii="Arial" w:hAnsi="Arial" w:cs="Arial"/>
          <w:i w:val="0"/>
          <w:iCs w:val="0"/>
          <w:color w:val="auto"/>
        </w:rPr>
        <w:t>Compliance Risk</w:t>
      </w:r>
      <w:r w:rsidRPr="00356886">
        <w:rPr>
          <w:rFonts w:ascii="Arial" w:hAnsi="Arial" w:cs="Arial"/>
          <w:color w:val="auto"/>
        </w:rPr>
        <w:t xml:space="preserve"> </w:t>
      </w:r>
    </w:p>
    <w:p w14:paraId="5FDB3CB4"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Compliance Risk is defined in the ERMF as the risk to current or projected financial condition and resilience arising from violations of Laws, Rules, Regulations (“LRRs”), or from non-conformance with prescribed practices, internal policies and procedures or ethical standards.</w:t>
      </w:r>
    </w:p>
    <w:p w14:paraId="78B4B974"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The key Citi policy that governs the Compliance Risk management is the Compliance Risk Management Policy (“CRMP”).</w:t>
      </w:r>
    </w:p>
    <w:p w14:paraId="483B7ED7" w14:textId="77777777" w:rsidR="00E00A20" w:rsidRDefault="00E00A20" w:rsidP="00E00A20">
      <w:pPr>
        <w:ind w:left="360"/>
        <w:rPr>
          <w:rFonts w:ascii="Arial" w:hAnsi="Arial" w:cs="Arial"/>
          <w:sz w:val="20"/>
          <w:szCs w:val="20"/>
        </w:rPr>
      </w:pPr>
      <w:r w:rsidRPr="00F866F6">
        <w:rPr>
          <w:rFonts w:ascii="Arial" w:hAnsi="Arial" w:cs="Arial"/>
          <w:sz w:val="20"/>
          <w:szCs w:val="20"/>
        </w:rPr>
        <w:t>Compliance risk exposes Citi to fines, civil money penalties, payment of damages, and the voiding of contracts. It can result in diminished reputation, harm to Citi’s customers, limited business opportunities, and lessened expansion potential. It also includes exposure to litigation (i.e., Legal Risk).</w:t>
      </w:r>
    </w:p>
    <w:p w14:paraId="2D7DE6EE" w14:textId="77777777" w:rsidR="00E00A20" w:rsidRPr="00F866F6" w:rsidRDefault="00E00A20" w:rsidP="00E00A20">
      <w:pPr>
        <w:ind w:left="360"/>
        <w:rPr>
          <w:rFonts w:ascii="Arial" w:hAnsi="Arial" w:cs="Arial"/>
          <w:sz w:val="20"/>
          <w:szCs w:val="20"/>
        </w:rPr>
      </w:pPr>
    </w:p>
    <w:p w14:paraId="521116B8" w14:textId="77777777" w:rsidR="00E00A20" w:rsidRPr="00356886" w:rsidRDefault="00E00A20" w:rsidP="007D0EB4">
      <w:pPr>
        <w:pStyle w:val="Heading4"/>
        <w:numPr>
          <w:ilvl w:val="0"/>
          <w:numId w:val="21"/>
        </w:numPr>
        <w:ind w:left="1440" w:hanging="1080"/>
        <w:rPr>
          <w:rFonts w:ascii="Arial" w:hAnsi="Arial" w:cs="Arial"/>
          <w:color w:val="auto"/>
        </w:rPr>
      </w:pPr>
      <w:r w:rsidRPr="00356886">
        <w:rPr>
          <w:rFonts w:ascii="Arial" w:hAnsi="Arial" w:cs="Arial"/>
          <w:i w:val="0"/>
          <w:iCs w:val="0"/>
          <w:color w:val="auto"/>
        </w:rPr>
        <w:t>Reputation Risk</w:t>
      </w:r>
      <w:r w:rsidRPr="00356886">
        <w:rPr>
          <w:rFonts w:ascii="Arial" w:hAnsi="Arial" w:cs="Arial"/>
          <w:color w:val="auto"/>
        </w:rPr>
        <w:t xml:space="preserve"> </w:t>
      </w:r>
    </w:p>
    <w:p w14:paraId="74A17E03" w14:textId="77777777" w:rsidR="00E00A20" w:rsidRPr="00356886" w:rsidRDefault="00E00A20" w:rsidP="00E00A20">
      <w:pPr>
        <w:ind w:left="360"/>
        <w:rPr>
          <w:rFonts w:ascii="Arial" w:eastAsia="Arial" w:hAnsi="Arial" w:cs="Arial"/>
          <w:noProof/>
          <w:sz w:val="20"/>
          <w:szCs w:val="20"/>
        </w:rPr>
      </w:pPr>
      <w:r w:rsidRPr="00356886">
        <w:rPr>
          <w:rFonts w:ascii="Arial" w:hAnsi="Arial" w:cs="Arial"/>
          <w:sz w:val="20"/>
          <w:szCs w:val="20"/>
        </w:rPr>
        <w:t xml:space="preserve">Reputation Risk is defined in the </w:t>
      </w:r>
      <w:r w:rsidRPr="00356886">
        <w:rPr>
          <w:rFonts w:ascii="Arial" w:eastAsia="Arial" w:hAnsi="Arial" w:cs="Arial"/>
          <w:noProof/>
          <w:sz w:val="20"/>
          <w:szCs w:val="20"/>
        </w:rPr>
        <w:t>Reputation Risk Policy</w:t>
      </w:r>
      <w:r w:rsidRPr="00356886">
        <w:rPr>
          <w:rFonts w:ascii="Arial" w:hAnsi="Arial" w:cs="Arial"/>
          <w:sz w:val="20"/>
          <w:szCs w:val="20"/>
        </w:rPr>
        <w:t xml:space="preserve"> </w:t>
      </w:r>
      <w:r w:rsidRPr="00356886">
        <w:rPr>
          <w:rFonts w:ascii="Arial" w:eastAsia="Arial" w:hAnsi="Arial" w:cs="Arial"/>
          <w:noProof/>
          <w:sz w:val="20"/>
          <w:szCs w:val="20"/>
        </w:rPr>
        <w:t xml:space="preserve">as the risk to current or projected financial condition and resilience resulting from negative opinion held by key stakeholders. </w:t>
      </w:r>
      <w:r w:rsidRPr="00356886">
        <w:rPr>
          <w:rFonts w:ascii="Arial" w:eastAsia="Arial" w:hAnsi="Arial" w:cs="Arial"/>
          <w:sz w:val="20"/>
          <w:szCs w:val="20"/>
        </w:rPr>
        <w:t>This risk may impair Citigroup, Inc. and its consolidated subsidiaries including Citibank N.A. (CBNA) (collectively “Citi”) competitiveness by affecting its ability to establish new relationships or services or continue servicing existing relationships. Reptation Risk for Citi is managed at an Enterprise level.</w:t>
      </w:r>
      <w:r w:rsidRPr="00356886">
        <w:rPr>
          <w:rFonts w:ascii="Arial" w:eastAsia="Arial" w:hAnsi="Arial" w:cs="Arial"/>
          <w:noProof/>
          <w:sz w:val="20"/>
          <w:szCs w:val="20"/>
        </w:rPr>
        <w:t xml:space="preserve"> Reputation Risk Policy outlines the roles and responsibilities in the management of Reputation Risk at Citi.</w:t>
      </w:r>
    </w:p>
    <w:p w14:paraId="726C2BE1" w14:textId="77777777" w:rsidR="00E00A20" w:rsidRPr="00356886" w:rsidRDefault="00E00A20" w:rsidP="00E00A20">
      <w:pPr>
        <w:pStyle w:val="BODYSTYLE"/>
        <w:ind w:left="360"/>
        <w:rPr>
          <w:bCs/>
          <w:color w:val="auto"/>
          <w:szCs w:val="20"/>
        </w:rPr>
      </w:pPr>
      <w:r w:rsidRPr="00356886">
        <w:rPr>
          <w:bCs/>
          <w:color w:val="auto"/>
          <w:szCs w:val="20"/>
        </w:rPr>
        <w:t xml:space="preserve">The CCC serves as the country-level committee to govern Reputation Risk. </w:t>
      </w:r>
    </w:p>
    <w:p w14:paraId="3ADC3B11" w14:textId="77777777" w:rsidR="00E00A20" w:rsidRPr="00356886" w:rsidRDefault="00E00A20" w:rsidP="00E00A20">
      <w:pPr>
        <w:pStyle w:val="BODYSTYLE"/>
        <w:rPr>
          <w:bCs/>
          <w:color w:val="auto"/>
          <w:szCs w:val="20"/>
        </w:rPr>
      </w:pPr>
    </w:p>
    <w:p w14:paraId="2DD2DD69" w14:textId="77777777" w:rsidR="00E00A20" w:rsidRPr="00356886" w:rsidRDefault="00E00A20" w:rsidP="007D0EB4">
      <w:pPr>
        <w:pStyle w:val="Heading3"/>
        <w:numPr>
          <w:ilvl w:val="2"/>
          <w:numId w:val="24"/>
        </w:numPr>
        <w:ind w:left="720"/>
        <w:rPr>
          <w:rFonts w:ascii="Arial" w:hAnsi="Arial" w:cs="Arial"/>
          <w:color w:val="auto"/>
          <w:sz w:val="20"/>
          <w:szCs w:val="20"/>
        </w:rPr>
      </w:pPr>
      <w:bookmarkStart w:id="58" w:name="_Toc130808476"/>
      <w:bookmarkStart w:id="59" w:name="_Toc135136713"/>
      <w:r w:rsidRPr="00356886">
        <w:rPr>
          <w:rFonts w:ascii="Arial" w:hAnsi="Arial" w:cs="Arial"/>
          <w:color w:val="auto"/>
          <w:sz w:val="20"/>
          <w:szCs w:val="20"/>
        </w:rPr>
        <w:t>Risk Types</w:t>
      </w:r>
      <w:bookmarkEnd w:id="58"/>
      <w:bookmarkEnd w:id="59"/>
    </w:p>
    <w:p w14:paraId="0D84BDA5" w14:textId="77777777" w:rsidR="00E00A20" w:rsidRPr="00356886" w:rsidRDefault="00E00A20" w:rsidP="00E00A20">
      <w:pPr>
        <w:pStyle w:val="BODYSTYLE"/>
        <w:rPr>
          <w:rFonts w:eastAsia="Arial"/>
          <w:color w:val="auto"/>
          <w:szCs w:val="20"/>
          <w:lang w:val="en-GB"/>
        </w:rPr>
      </w:pPr>
      <w:r w:rsidRPr="00356886">
        <w:rPr>
          <w:rFonts w:eastAsia="Arial"/>
          <w:color w:val="auto"/>
          <w:szCs w:val="20"/>
          <w:lang w:val="en-GB"/>
        </w:rPr>
        <w:t>In addition to the Primary Risk Categories, Citi defines risk types as Top, Material, Growing, Idiosyncratic or Emerging risks. Below are the definitions of each of the risk types per ERMF.</w:t>
      </w:r>
    </w:p>
    <w:tbl>
      <w:tblPr>
        <w:tblStyle w:val="TableGrid"/>
        <w:tblW w:w="0" w:type="auto"/>
        <w:tblLook w:val="04A0" w:firstRow="1" w:lastRow="0" w:firstColumn="1" w:lastColumn="0" w:noHBand="0" w:noVBand="1"/>
      </w:tblPr>
      <w:tblGrid>
        <w:gridCol w:w="1795"/>
        <w:gridCol w:w="7735"/>
      </w:tblGrid>
      <w:tr w:rsidR="00E00A20" w:rsidRPr="00356886" w14:paraId="46070C4A" w14:textId="77777777" w:rsidTr="004B5B97">
        <w:tc>
          <w:tcPr>
            <w:tcW w:w="1795" w:type="dxa"/>
            <w:shd w:val="clear" w:color="auto" w:fill="8EAADB" w:themeFill="accent1" w:themeFillTint="99"/>
          </w:tcPr>
          <w:p w14:paraId="386C14C5" w14:textId="77777777" w:rsidR="00E00A20" w:rsidRPr="00356886" w:rsidRDefault="00E00A20" w:rsidP="004B5B97">
            <w:pPr>
              <w:pStyle w:val="BODYSTYLE"/>
              <w:rPr>
                <w:rFonts w:eastAsia="Arial"/>
                <w:b/>
                <w:bCs/>
                <w:color w:val="auto"/>
                <w:szCs w:val="20"/>
                <w:lang w:val="en-GB"/>
              </w:rPr>
            </w:pPr>
            <w:r w:rsidRPr="00356886">
              <w:rPr>
                <w:rFonts w:eastAsia="Arial"/>
                <w:b/>
                <w:bCs/>
                <w:color w:val="auto"/>
                <w:szCs w:val="20"/>
                <w:lang w:val="en-GB"/>
              </w:rPr>
              <w:t>Risk Type</w:t>
            </w:r>
          </w:p>
        </w:tc>
        <w:tc>
          <w:tcPr>
            <w:tcW w:w="7735" w:type="dxa"/>
            <w:shd w:val="clear" w:color="auto" w:fill="8EAADB" w:themeFill="accent1" w:themeFillTint="99"/>
          </w:tcPr>
          <w:p w14:paraId="25659B64" w14:textId="77777777" w:rsidR="00E00A20" w:rsidRPr="00356886" w:rsidRDefault="00E00A20" w:rsidP="004B5B97">
            <w:pPr>
              <w:pStyle w:val="BODYSTYLE"/>
              <w:rPr>
                <w:rFonts w:eastAsia="Arial"/>
                <w:b/>
                <w:bCs/>
                <w:color w:val="auto"/>
                <w:szCs w:val="20"/>
                <w:lang w:val="en-GB"/>
              </w:rPr>
            </w:pPr>
            <w:r w:rsidRPr="00356886">
              <w:rPr>
                <w:rFonts w:eastAsia="Arial"/>
                <w:b/>
                <w:bCs/>
                <w:color w:val="auto"/>
                <w:szCs w:val="20"/>
                <w:lang w:val="en-GB"/>
              </w:rPr>
              <w:t>Definition</w:t>
            </w:r>
          </w:p>
        </w:tc>
      </w:tr>
      <w:tr w:rsidR="00E00A20" w:rsidRPr="00356886" w14:paraId="4526662A" w14:textId="77777777" w:rsidTr="004B5B97">
        <w:trPr>
          <w:trHeight w:val="1088"/>
        </w:trPr>
        <w:tc>
          <w:tcPr>
            <w:tcW w:w="1795" w:type="dxa"/>
          </w:tcPr>
          <w:p w14:paraId="176F5F3B" w14:textId="77777777" w:rsidR="00E00A20" w:rsidRPr="00356886" w:rsidRDefault="00E00A20" w:rsidP="004B5B97">
            <w:pPr>
              <w:pStyle w:val="BODYSTYLE"/>
              <w:rPr>
                <w:rFonts w:eastAsia="Arial"/>
                <w:color w:val="auto"/>
                <w:szCs w:val="20"/>
                <w:lang w:val="en-GB"/>
              </w:rPr>
            </w:pPr>
            <w:r w:rsidRPr="00356886">
              <w:rPr>
                <w:rFonts w:eastAsia="Arial"/>
                <w:color w:val="auto"/>
                <w:szCs w:val="20"/>
                <w:lang w:val="en-GB"/>
              </w:rPr>
              <w:t>Top Risk</w:t>
            </w:r>
          </w:p>
        </w:tc>
        <w:tc>
          <w:tcPr>
            <w:tcW w:w="7735" w:type="dxa"/>
            <w:vAlign w:val="center"/>
          </w:tcPr>
          <w:p w14:paraId="26A526F0" w14:textId="77777777" w:rsidR="00E00A20" w:rsidRPr="00356886" w:rsidRDefault="00E00A20" w:rsidP="004B5B97">
            <w:pPr>
              <w:pStyle w:val="Default"/>
              <w:rPr>
                <w:color w:val="auto"/>
                <w:sz w:val="20"/>
                <w:szCs w:val="20"/>
              </w:rPr>
            </w:pPr>
            <w:r w:rsidRPr="00356886">
              <w:rPr>
                <w:color w:val="auto"/>
                <w:sz w:val="20"/>
                <w:szCs w:val="20"/>
              </w:rPr>
              <w:t xml:space="preserve">Risks that have the potential to produce an impact large enough to threaten: </w:t>
            </w:r>
          </w:p>
          <w:p w14:paraId="28D38A20" w14:textId="77777777" w:rsidR="00E00A20" w:rsidRPr="00356886" w:rsidRDefault="00E00A20" w:rsidP="007D0EB4">
            <w:pPr>
              <w:pStyle w:val="Default"/>
              <w:numPr>
                <w:ilvl w:val="0"/>
                <w:numId w:val="25"/>
              </w:numPr>
              <w:ind w:left="346"/>
              <w:rPr>
                <w:color w:val="auto"/>
                <w:sz w:val="20"/>
                <w:szCs w:val="20"/>
              </w:rPr>
            </w:pPr>
            <w:r w:rsidRPr="00356886">
              <w:rPr>
                <w:color w:val="auto"/>
                <w:sz w:val="20"/>
                <w:szCs w:val="20"/>
              </w:rPr>
              <w:t xml:space="preserve">Citi’s ability to maintain any of its core operations to serve its customers; </w:t>
            </w:r>
          </w:p>
          <w:p w14:paraId="5666A54C" w14:textId="77777777" w:rsidR="00E00A20" w:rsidRPr="00356886" w:rsidRDefault="00E00A20" w:rsidP="007D0EB4">
            <w:pPr>
              <w:pStyle w:val="Default"/>
              <w:numPr>
                <w:ilvl w:val="0"/>
                <w:numId w:val="25"/>
              </w:numPr>
              <w:ind w:left="346"/>
              <w:rPr>
                <w:color w:val="auto"/>
                <w:sz w:val="20"/>
                <w:szCs w:val="20"/>
              </w:rPr>
            </w:pPr>
            <w:r w:rsidRPr="00356886">
              <w:rPr>
                <w:color w:val="auto"/>
                <w:sz w:val="20"/>
                <w:szCs w:val="20"/>
              </w:rPr>
              <w:t xml:space="preserve">Citi’s Earnings, Liquidity, Capital or Operating Model; or </w:t>
            </w:r>
          </w:p>
          <w:p w14:paraId="3AE02CE0" w14:textId="77777777" w:rsidR="00E00A20" w:rsidRPr="00356886" w:rsidRDefault="00E00A20" w:rsidP="007D0EB4">
            <w:pPr>
              <w:pStyle w:val="Default"/>
              <w:numPr>
                <w:ilvl w:val="0"/>
                <w:numId w:val="25"/>
              </w:numPr>
              <w:ind w:left="346"/>
              <w:rPr>
                <w:color w:val="auto"/>
                <w:sz w:val="20"/>
                <w:szCs w:val="20"/>
              </w:rPr>
            </w:pPr>
            <w:r w:rsidRPr="00356886">
              <w:rPr>
                <w:color w:val="auto"/>
                <w:sz w:val="20"/>
                <w:szCs w:val="20"/>
              </w:rPr>
              <w:t xml:space="preserve">Citigroup / CBNA’s risk profile </w:t>
            </w:r>
          </w:p>
        </w:tc>
      </w:tr>
      <w:tr w:rsidR="00E00A20" w:rsidRPr="00356886" w14:paraId="5C2C9AA8" w14:textId="77777777" w:rsidTr="004B5B97">
        <w:trPr>
          <w:trHeight w:val="1070"/>
        </w:trPr>
        <w:tc>
          <w:tcPr>
            <w:tcW w:w="1795" w:type="dxa"/>
          </w:tcPr>
          <w:p w14:paraId="6D2A3C76" w14:textId="77777777" w:rsidR="00E00A20" w:rsidRPr="00356886" w:rsidRDefault="00E00A20" w:rsidP="004B5B97">
            <w:pPr>
              <w:pStyle w:val="BODYSTYLE"/>
              <w:rPr>
                <w:rFonts w:eastAsia="Arial"/>
                <w:color w:val="auto"/>
                <w:szCs w:val="20"/>
                <w:lang w:val="en-GB"/>
              </w:rPr>
            </w:pPr>
            <w:r w:rsidRPr="00356886">
              <w:rPr>
                <w:rFonts w:eastAsia="Arial"/>
                <w:color w:val="auto"/>
                <w:szCs w:val="20"/>
                <w:lang w:val="en-GB"/>
              </w:rPr>
              <w:t>Material Risk</w:t>
            </w:r>
          </w:p>
        </w:tc>
        <w:tc>
          <w:tcPr>
            <w:tcW w:w="7735" w:type="dxa"/>
            <w:vAlign w:val="center"/>
          </w:tcPr>
          <w:p w14:paraId="085E6798" w14:textId="77777777" w:rsidR="00E00A20" w:rsidRPr="00356886" w:rsidRDefault="00E00A20" w:rsidP="004B5B97">
            <w:pPr>
              <w:pStyle w:val="Default"/>
              <w:rPr>
                <w:color w:val="auto"/>
                <w:sz w:val="20"/>
                <w:szCs w:val="20"/>
              </w:rPr>
            </w:pPr>
            <w:r w:rsidRPr="00356886">
              <w:rPr>
                <w:color w:val="auto"/>
                <w:sz w:val="20"/>
                <w:szCs w:val="20"/>
              </w:rPr>
              <w:t xml:space="preserve">Risks that have the potential to produce a significant impact on: </w:t>
            </w:r>
          </w:p>
          <w:p w14:paraId="28B8D4EA" w14:textId="77777777" w:rsidR="00E00A20" w:rsidRPr="00356886" w:rsidRDefault="00E00A20" w:rsidP="007D0EB4">
            <w:pPr>
              <w:pStyle w:val="Default"/>
              <w:numPr>
                <w:ilvl w:val="0"/>
                <w:numId w:val="26"/>
              </w:numPr>
              <w:ind w:left="338"/>
              <w:rPr>
                <w:color w:val="auto"/>
                <w:sz w:val="20"/>
                <w:szCs w:val="20"/>
              </w:rPr>
            </w:pPr>
            <w:r w:rsidRPr="00356886">
              <w:rPr>
                <w:color w:val="auto"/>
                <w:sz w:val="20"/>
                <w:szCs w:val="20"/>
              </w:rPr>
              <w:t xml:space="preserve">Citi’s ability to maintain any of its core operations to serve its customers; </w:t>
            </w:r>
          </w:p>
          <w:p w14:paraId="55CCCC4E" w14:textId="77777777" w:rsidR="00E00A20" w:rsidRPr="00356886" w:rsidRDefault="00E00A20" w:rsidP="007D0EB4">
            <w:pPr>
              <w:pStyle w:val="Default"/>
              <w:numPr>
                <w:ilvl w:val="0"/>
                <w:numId w:val="26"/>
              </w:numPr>
              <w:ind w:left="338"/>
              <w:rPr>
                <w:color w:val="auto"/>
                <w:sz w:val="20"/>
                <w:szCs w:val="20"/>
              </w:rPr>
            </w:pPr>
            <w:r w:rsidRPr="00356886">
              <w:rPr>
                <w:color w:val="auto"/>
                <w:sz w:val="20"/>
                <w:szCs w:val="20"/>
              </w:rPr>
              <w:t xml:space="preserve">Citi’s Earnings, Liquidity, Capital, or Operating Model; or </w:t>
            </w:r>
          </w:p>
          <w:p w14:paraId="2CC6A820" w14:textId="77777777" w:rsidR="00E00A20" w:rsidRPr="00356886" w:rsidRDefault="00E00A20" w:rsidP="007D0EB4">
            <w:pPr>
              <w:pStyle w:val="Default"/>
              <w:numPr>
                <w:ilvl w:val="0"/>
                <w:numId w:val="26"/>
              </w:numPr>
              <w:ind w:left="338"/>
              <w:rPr>
                <w:color w:val="auto"/>
                <w:sz w:val="20"/>
                <w:szCs w:val="20"/>
              </w:rPr>
            </w:pPr>
            <w:r w:rsidRPr="00356886">
              <w:rPr>
                <w:color w:val="auto"/>
                <w:sz w:val="20"/>
                <w:szCs w:val="20"/>
              </w:rPr>
              <w:t xml:space="preserve">Citigroup / CBNA’s risk profile </w:t>
            </w:r>
          </w:p>
        </w:tc>
      </w:tr>
      <w:tr w:rsidR="00E00A20" w:rsidRPr="00356886" w14:paraId="5BD3F407" w14:textId="77777777" w:rsidTr="004B5B97">
        <w:tc>
          <w:tcPr>
            <w:tcW w:w="1795" w:type="dxa"/>
          </w:tcPr>
          <w:p w14:paraId="3636005D" w14:textId="77777777" w:rsidR="00E00A20" w:rsidRPr="00356886" w:rsidRDefault="00E00A20" w:rsidP="004B5B97">
            <w:pPr>
              <w:pStyle w:val="BODYSTYLE"/>
              <w:rPr>
                <w:rFonts w:eastAsia="Arial"/>
                <w:color w:val="auto"/>
                <w:szCs w:val="20"/>
                <w:lang w:val="en-GB"/>
              </w:rPr>
            </w:pPr>
            <w:r w:rsidRPr="00356886">
              <w:rPr>
                <w:rFonts w:eastAsia="Arial"/>
                <w:color w:val="auto"/>
                <w:szCs w:val="20"/>
                <w:lang w:val="en-GB"/>
              </w:rPr>
              <w:t>Growing Risk</w:t>
            </w:r>
          </w:p>
        </w:tc>
        <w:tc>
          <w:tcPr>
            <w:tcW w:w="7735" w:type="dxa"/>
            <w:vAlign w:val="center"/>
          </w:tcPr>
          <w:p w14:paraId="50B8C7C0" w14:textId="77777777" w:rsidR="00E00A20" w:rsidRPr="00356886" w:rsidRDefault="00E00A20" w:rsidP="004B5B97">
            <w:pPr>
              <w:pStyle w:val="BODYSTYLE"/>
              <w:jc w:val="left"/>
              <w:rPr>
                <w:rFonts w:eastAsia="Arial"/>
                <w:color w:val="auto"/>
                <w:szCs w:val="20"/>
                <w:lang w:val="en-GB"/>
              </w:rPr>
            </w:pPr>
            <w:r w:rsidRPr="00356886">
              <w:rPr>
                <w:rFonts w:eastAsia="Arial"/>
                <w:color w:val="auto"/>
                <w:szCs w:val="20"/>
                <w:lang w:val="en-GB"/>
              </w:rPr>
              <w:t>Risks that are not new, are rapidly increasing, and are appropriately assessed or quantified.</w:t>
            </w:r>
          </w:p>
        </w:tc>
      </w:tr>
      <w:tr w:rsidR="00E00A20" w:rsidRPr="00356886" w14:paraId="3E9B422C" w14:textId="77777777" w:rsidTr="004B5B97">
        <w:tc>
          <w:tcPr>
            <w:tcW w:w="1795" w:type="dxa"/>
          </w:tcPr>
          <w:p w14:paraId="6D45A43B" w14:textId="77777777" w:rsidR="00E00A20" w:rsidRPr="00356886" w:rsidRDefault="00E00A20" w:rsidP="004B5B97">
            <w:pPr>
              <w:pStyle w:val="BODYSTYLE"/>
              <w:rPr>
                <w:rFonts w:eastAsia="Arial"/>
                <w:color w:val="auto"/>
                <w:szCs w:val="20"/>
                <w:lang w:val="en-GB"/>
              </w:rPr>
            </w:pPr>
            <w:r w:rsidRPr="00356886">
              <w:rPr>
                <w:rFonts w:eastAsia="Arial"/>
                <w:color w:val="auto"/>
                <w:szCs w:val="20"/>
                <w:lang w:val="en-GB"/>
              </w:rPr>
              <w:t>Idiosyncratic Risk</w:t>
            </w:r>
          </w:p>
        </w:tc>
        <w:tc>
          <w:tcPr>
            <w:tcW w:w="7735" w:type="dxa"/>
            <w:vAlign w:val="center"/>
          </w:tcPr>
          <w:p w14:paraId="23BA56A8" w14:textId="77777777" w:rsidR="00E00A20" w:rsidRPr="00356886" w:rsidRDefault="00E00A20" w:rsidP="004B5B97">
            <w:pPr>
              <w:pStyle w:val="BODYSTYLE"/>
              <w:jc w:val="left"/>
              <w:rPr>
                <w:rFonts w:eastAsia="Arial"/>
                <w:color w:val="auto"/>
                <w:szCs w:val="20"/>
                <w:lang w:val="en-GB"/>
              </w:rPr>
            </w:pPr>
            <w:r w:rsidRPr="00356886">
              <w:rPr>
                <w:rFonts w:eastAsia="Arial"/>
                <w:color w:val="auto"/>
                <w:szCs w:val="20"/>
                <w:lang w:val="en-GB"/>
              </w:rPr>
              <w:t>Risk of loss that arises from events or risk factors, either of which (</w:t>
            </w:r>
            <w:proofErr w:type="spellStart"/>
            <w:r w:rsidRPr="00356886">
              <w:rPr>
                <w:rFonts w:eastAsia="Arial"/>
                <w:color w:val="auto"/>
                <w:szCs w:val="20"/>
                <w:lang w:val="en-GB"/>
              </w:rPr>
              <w:t>i</w:t>
            </w:r>
            <w:proofErr w:type="spellEnd"/>
            <w:r w:rsidRPr="00356886">
              <w:rPr>
                <w:rFonts w:eastAsia="Arial"/>
                <w:color w:val="auto"/>
                <w:szCs w:val="20"/>
                <w:lang w:val="en-GB"/>
              </w:rPr>
              <w:t>) disproportionately affect Citi or (ii) are unique to Citi.</w:t>
            </w:r>
          </w:p>
        </w:tc>
      </w:tr>
      <w:tr w:rsidR="00E00A20" w:rsidRPr="00356886" w14:paraId="1E1584A9" w14:textId="77777777" w:rsidTr="004B5B97">
        <w:tc>
          <w:tcPr>
            <w:tcW w:w="1795" w:type="dxa"/>
          </w:tcPr>
          <w:p w14:paraId="65467556" w14:textId="77777777" w:rsidR="00E00A20" w:rsidRPr="00356886" w:rsidRDefault="00E00A20" w:rsidP="004B5B97">
            <w:pPr>
              <w:pStyle w:val="BODYSTYLE"/>
              <w:rPr>
                <w:rFonts w:eastAsia="Arial"/>
                <w:color w:val="auto"/>
                <w:szCs w:val="20"/>
                <w:lang w:val="en-GB"/>
              </w:rPr>
            </w:pPr>
            <w:r w:rsidRPr="00356886">
              <w:rPr>
                <w:rFonts w:eastAsia="Arial"/>
                <w:color w:val="auto"/>
                <w:szCs w:val="20"/>
                <w:lang w:val="en-GB"/>
              </w:rPr>
              <w:t>Emerging Risk</w:t>
            </w:r>
          </w:p>
        </w:tc>
        <w:tc>
          <w:tcPr>
            <w:tcW w:w="7735" w:type="dxa"/>
            <w:vAlign w:val="center"/>
          </w:tcPr>
          <w:p w14:paraId="5B105EE6" w14:textId="77777777" w:rsidR="00E00A20" w:rsidRPr="00356886" w:rsidRDefault="00E00A20" w:rsidP="004B5B97">
            <w:pPr>
              <w:pStyle w:val="BODYSTYLE"/>
              <w:jc w:val="left"/>
              <w:rPr>
                <w:rFonts w:eastAsia="Arial"/>
                <w:color w:val="auto"/>
                <w:szCs w:val="20"/>
                <w:lang w:val="en-GB"/>
              </w:rPr>
            </w:pPr>
            <w:r w:rsidRPr="00356886">
              <w:rPr>
                <w:rFonts w:eastAsia="Arial"/>
                <w:color w:val="auto"/>
                <w:szCs w:val="20"/>
                <w:lang w:val="en-GB"/>
              </w:rPr>
              <w:t>Risks that are new to Citi’s risk landscape or rapidly changing and are characterized by data unavailability or other uncertainties.</w:t>
            </w:r>
          </w:p>
        </w:tc>
      </w:tr>
    </w:tbl>
    <w:p w14:paraId="3A8EF879" w14:textId="271328AC" w:rsidR="00E00A20" w:rsidRPr="00356886" w:rsidRDefault="00E00A20" w:rsidP="00E00A20">
      <w:pPr>
        <w:rPr>
          <w:rFonts w:ascii="Arial" w:hAnsi="Arial" w:cs="Arial"/>
          <w:sz w:val="20"/>
          <w:szCs w:val="20"/>
        </w:rPr>
      </w:pPr>
      <w:r w:rsidRPr="00356886">
        <w:rPr>
          <w:rFonts w:ascii="Arial" w:hAnsi="Arial" w:cs="Arial"/>
          <w:sz w:val="20"/>
          <w:szCs w:val="20"/>
        </w:rPr>
        <w:t xml:space="preserve">A separate Enterprise Risk Identification Framework is defined in the Enterprise Risk Identification Policy where it establishes the process to identify, measure, monitor and document these Risk Types in an Enterprise-wide risk inventory. More information about the Enterprise Risk Identification program </w:t>
      </w:r>
      <w:proofErr w:type="gramStart"/>
      <w:r w:rsidRPr="00356886">
        <w:rPr>
          <w:rFonts w:ascii="Arial" w:hAnsi="Arial" w:cs="Arial"/>
          <w:sz w:val="20"/>
          <w:szCs w:val="20"/>
        </w:rPr>
        <w:t>are</w:t>
      </w:r>
      <w:proofErr w:type="gramEnd"/>
      <w:r w:rsidRPr="00356886">
        <w:rPr>
          <w:rFonts w:ascii="Arial" w:hAnsi="Arial" w:cs="Arial"/>
          <w:sz w:val="20"/>
          <w:szCs w:val="20"/>
        </w:rPr>
        <w:t xml:space="preserve"> found in section </w:t>
      </w:r>
      <w:r w:rsidR="005A3738" w:rsidRPr="00356886">
        <w:rPr>
          <w:rFonts w:ascii="Arial" w:hAnsi="Arial" w:cs="Arial"/>
          <w:sz w:val="20"/>
          <w:szCs w:val="20"/>
        </w:rPr>
        <w:t>2.7.1.</w:t>
      </w:r>
    </w:p>
    <w:p w14:paraId="19DF12D3" w14:textId="77777777" w:rsidR="00E00A20" w:rsidRPr="00356886" w:rsidRDefault="00E00A20" w:rsidP="00E00A20">
      <w:pPr>
        <w:rPr>
          <w:rFonts w:ascii="Arial" w:hAnsi="Arial" w:cs="Arial"/>
          <w:sz w:val="20"/>
          <w:szCs w:val="20"/>
        </w:rPr>
      </w:pPr>
    </w:p>
    <w:p w14:paraId="1DE1EC77" w14:textId="77777777" w:rsidR="00E00A20" w:rsidRPr="00356886" w:rsidRDefault="00E00A20" w:rsidP="007D0EB4">
      <w:pPr>
        <w:pStyle w:val="Heading2"/>
        <w:numPr>
          <w:ilvl w:val="0"/>
          <w:numId w:val="17"/>
        </w:numPr>
        <w:ind w:left="540" w:hanging="540"/>
        <w:rPr>
          <w:rFonts w:ascii="Arial" w:hAnsi="Arial" w:cs="Arial"/>
          <w:b/>
          <w:bCs/>
          <w:color w:val="auto"/>
          <w:sz w:val="20"/>
          <w:szCs w:val="20"/>
        </w:rPr>
      </w:pPr>
      <w:r w:rsidRPr="00356886">
        <w:rPr>
          <w:rFonts w:ascii="Arial" w:hAnsi="Arial" w:cs="Arial"/>
          <w:b/>
          <w:bCs/>
          <w:color w:val="auto"/>
          <w:sz w:val="20"/>
          <w:szCs w:val="20"/>
        </w:rPr>
        <w:t>Additional Risk Management Considerations</w:t>
      </w:r>
    </w:p>
    <w:p w14:paraId="7F395377" w14:textId="77777777" w:rsidR="00E00A20" w:rsidRPr="00356886" w:rsidRDefault="00E00A20" w:rsidP="00E00A20">
      <w:pPr>
        <w:pStyle w:val="Heading3"/>
        <w:rPr>
          <w:rFonts w:ascii="Arial" w:hAnsi="Arial" w:cs="Arial"/>
          <w:color w:val="auto"/>
          <w:sz w:val="20"/>
          <w:szCs w:val="20"/>
        </w:rPr>
      </w:pPr>
      <w:r w:rsidRPr="00356886">
        <w:rPr>
          <w:rFonts w:ascii="Arial" w:hAnsi="Arial" w:cs="Arial"/>
          <w:color w:val="auto"/>
          <w:sz w:val="20"/>
          <w:szCs w:val="20"/>
        </w:rPr>
        <w:t>2.5.1 Internal Capital Adequacy Assessment Process (ICAAP)</w:t>
      </w:r>
    </w:p>
    <w:p w14:paraId="5543EBF3" w14:textId="77777777" w:rsidR="00E00A20" w:rsidRPr="00356886" w:rsidRDefault="00E00A20" w:rsidP="00E00A20">
      <w:pPr>
        <w:rPr>
          <w:rFonts w:ascii="Arial" w:hAnsi="Arial" w:cs="Arial"/>
          <w:sz w:val="20"/>
          <w:szCs w:val="20"/>
        </w:rPr>
      </w:pPr>
      <w:r w:rsidRPr="00356886">
        <w:rPr>
          <w:rFonts w:ascii="Arial" w:hAnsi="Arial" w:cs="Arial"/>
          <w:sz w:val="20"/>
          <w:szCs w:val="20"/>
        </w:rPr>
        <w:t>To comply with requirements and principles set forth in the Citi Global ICAAP Standard and the Citi Enterprise Stress Testing Policy, Citibank Uganda Limited performs an annual Internal Capital Adequacy Assessment Process (ICAAP).</w:t>
      </w:r>
    </w:p>
    <w:p w14:paraId="29BF9C86" w14:textId="77777777" w:rsidR="00E00A20" w:rsidRPr="00356886" w:rsidRDefault="00E00A20" w:rsidP="00E00A20">
      <w:pPr>
        <w:rPr>
          <w:rFonts w:ascii="Arial" w:hAnsi="Arial" w:cs="Arial"/>
          <w:sz w:val="20"/>
          <w:szCs w:val="20"/>
        </w:rPr>
      </w:pPr>
      <w:r w:rsidRPr="00356886">
        <w:rPr>
          <w:rFonts w:ascii="Arial" w:hAnsi="Arial" w:cs="Arial"/>
          <w:sz w:val="20"/>
          <w:szCs w:val="20"/>
        </w:rPr>
        <w:t>ICAAP Submission Document for Citibank Uganda Limited is prepared in accordance with the requirements of the Global ICAAP Standard, and in a manner proportionate to the legal entity’s size, complexity, and risk profile, including local regulatory requirements.</w:t>
      </w:r>
    </w:p>
    <w:p w14:paraId="36E492F4" w14:textId="77777777" w:rsidR="00E00A20" w:rsidRPr="00356886" w:rsidRDefault="00E00A20" w:rsidP="00E00A20">
      <w:pPr>
        <w:rPr>
          <w:rFonts w:ascii="Arial" w:hAnsi="Arial" w:cs="Arial"/>
          <w:sz w:val="20"/>
          <w:szCs w:val="20"/>
        </w:rPr>
      </w:pPr>
      <w:r w:rsidRPr="00356886">
        <w:rPr>
          <w:rFonts w:ascii="Arial" w:hAnsi="Arial" w:cs="Arial"/>
          <w:sz w:val="20"/>
          <w:szCs w:val="20"/>
        </w:rPr>
        <w:t>Citibank Uganda Limited’s ICAAP achieve the following objectives:</w:t>
      </w:r>
    </w:p>
    <w:p w14:paraId="79E65F0C" w14:textId="77777777" w:rsidR="00E00A20" w:rsidRPr="00356886" w:rsidRDefault="00E00A20" w:rsidP="007D0EB4">
      <w:pPr>
        <w:pStyle w:val="ListParagraph"/>
        <w:numPr>
          <w:ilvl w:val="0"/>
          <w:numId w:val="7"/>
        </w:numPr>
        <w:rPr>
          <w:rFonts w:ascii="Arial" w:hAnsi="Arial" w:cs="Arial"/>
          <w:sz w:val="20"/>
          <w:szCs w:val="20"/>
        </w:rPr>
      </w:pPr>
      <w:r w:rsidRPr="00356886">
        <w:rPr>
          <w:rFonts w:ascii="Arial" w:hAnsi="Arial" w:cs="Arial"/>
          <w:sz w:val="20"/>
          <w:szCs w:val="20"/>
        </w:rPr>
        <w:t>Inform the Citibank Uganda Limited CCC, ALCO and Board of the on-going assessment of an entity’s risks relative to its capital resources</w:t>
      </w:r>
    </w:p>
    <w:p w14:paraId="15D94958" w14:textId="77777777" w:rsidR="00E00A20" w:rsidRPr="00356886" w:rsidRDefault="00E00A20" w:rsidP="007D0EB4">
      <w:pPr>
        <w:pStyle w:val="ListParagraph"/>
        <w:numPr>
          <w:ilvl w:val="0"/>
          <w:numId w:val="6"/>
        </w:numPr>
        <w:rPr>
          <w:rFonts w:ascii="Arial" w:hAnsi="Arial" w:cs="Arial"/>
          <w:sz w:val="20"/>
          <w:szCs w:val="20"/>
        </w:rPr>
      </w:pPr>
      <w:r w:rsidRPr="00356886">
        <w:rPr>
          <w:rFonts w:ascii="Arial" w:hAnsi="Arial" w:cs="Arial"/>
          <w:sz w:val="20"/>
          <w:szCs w:val="20"/>
        </w:rPr>
        <w:t>Explain how the entity mitigates those risks</w:t>
      </w:r>
    </w:p>
    <w:p w14:paraId="4BDF83B8" w14:textId="77777777" w:rsidR="00E00A20" w:rsidRPr="00356886" w:rsidRDefault="00E00A20" w:rsidP="007D0EB4">
      <w:pPr>
        <w:pStyle w:val="ListParagraph"/>
        <w:numPr>
          <w:ilvl w:val="0"/>
          <w:numId w:val="6"/>
        </w:numPr>
        <w:rPr>
          <w:rFonts w:ascii="Arial" w:hAnsi="Arial" w:cs="Arial"/>
          <w:sz w:val="20"/>
          <w:szCs w:val="20"/>
        </w:rPr>
      </w:pPr>
      <w:r w:rsidRPr="00356886">
        <w:rPr>
          <w:rFonts w:ascii="Arial" w:hAnsi="Arial" w:cs="Arial"/>
          <w:sz w:val="20"/>
          <w:szCs w:val="20"/>
        </w:rPr>
        <w:t>Estimate the impact of a potential downside scenario, and determine how much capital is necessary to hold in that entity</w:t>
      </w:r>
    </w:p>
    <w:p w14:paraId="58CD0003" w14:textId="77777777" w:rsidR="00E00A20" w:rsidRPr="00356886" w:rsidRDefault="00E00A20" w:rsidP="007D0EB4">
      <w:pPr>
        <w:pStyle w:val="ListParagraph"/>
        <w:numPr>
          <w:ilvl w:val="0"/>
          <w:numId w:val="6"/>
        </w:numPr>
        <w:rPr>
          <w:rFonts w:ascii="Arial" w:hAnsi="Arial" w:cs="Arial"/>
          <w:sz w:val="20"/>
          <w:szCs w:val="20"/>
        </w:rPr>
      </w:pPr>
      <w:r w:rsidRPr="00356886">
        <w:rPr>
          <w:rFonts w:ascii="Arial" w:hAnsi="Arial" w:cs="Arial"/>
          <w:sz w:val="20"/>
          <w:szCs w:val="20"/>
        </w:rPr>
        <w:t>Demonstrate the entity’s internal capital adequacy assessment process, including both quantitative and qualitative considerations, in a manner that is commensurate with local regulatory requirements, firm-wide policies, BCBS Stress Testing Principles</w:t>
      </w:r>
    </w:p>
    <w:p w14:paraId="4B864895" w14:textId="77777777" w:rsidR="00E00A20" w:rsidRPr="00356886" w:rsidRDefault="00E00A20" w:rsidP="007D0EB4">
      <w:pPr>
        <w:pStyle w:val="ListParagraph"/>
        <w:numPr>
          <w:ilvl w:val="0"/>
          <w:numId w:val="6"/>
        </w:numPr>
        <w:rPr>
          <w:rFonts w:ascii="Arial" w:hAnsi="Arial" w:cs="Arial"/>
          <w:sz w:val="20"/>
          <w:szCs w:val="20"/>
        </w:rPr>
      </w:pPr>
      <w:r w:rsidRPr="00356886">
        <w:rPr>
          <w:rFonts w:ascii="Arial" w:hAnsi="Arial" w:cs="Arial"/>
          <w:sz w:val="20"/>
          <w:szCs w:val="20"/>
        </w:rPr>
        <w:t>Show all relevant information necessary, for the firm’s senior management and the local regulator, to make an informed decision on the appropriate capital level and risk management approach.</w:t>
      </w:r>
    </w:p>
    <w:p w14:paraId="799B5FA1" w14:textId="77777777" w:rsidR="00E00A20" w:rsidRPr="00356886" w:rsidRDefault="00E00A20" w:rsidP="00E00A20">
      <w:pPr>
        <w:rPr>
          <w:rFonts w:ascii="Arial" w:hAnsi="Arial" w:cs="Arial"/>
          <w:sz w:val="20"/>
          <w:szCs w:val="20"/>
        </w:rPr>
      </w:pPr>
      <w:r w:rsidRPr="00356886">
        <w:rPr>
          <w:rFonts w:ascii="Arial" w:hAnsi="Arial" w:cs="Arial"/>
          <w:sz w:val="20"/>
          <w:szCs w:val="20"/>
        </w:rPr>
        <w:t>Ultimately, local regulatory requirements determine the structure and content of an ICAAP.</w:t>
      </w:r>
    </w:p>
    <w:p w14:paraId="58B0AC15" w14:textId="77777777" w:rsidR="00E00A20" w:rsidRPr="00356886" w:rsidRDefault="00E00A20" w:rsidP="00E00A20">
      <w:pPr>
        <w:rPr>
          <w:rFonts w:ascii="Arial" w:hAnsi="Arial" w:cs="Arial"/>
          <w:sz w:val="20"/>
          <w:szCs w:val="20"/>
        </w:rPr>
      </w:pPr>
    </w:p>
    <w:p w14:paraId="0CC68091" w14:textId="77777777" w:rsidR="00E00A20" w:rsidRPr="00F866F6" w:rsidRDefault="00E00A20" w:rsidP="00E00A20">
      <w:pPr>
        <w:rPr>
          <w:rFonts w:ascii="Arial" w:hAnsi="Arial" w:cs="Arial"/>
          <w:sz w:val="20"/>
          <w:szCs w:val="20"/>
        </w:rPr>
      </w:pPr>
      <w:r w:rsidRPr="00F866F6">
        <w:rPr>
          <w:rFonts w:ascii="Arial" w:hAnsi="Arial" w:cs="Arial"/>
          <w:sz w:val="20"/>
          <w:szCs w:val="20"/>
        </w:rPr>
        <w:t>The Local ICAAP Senior Executive is the Citibank Uganda Limited CCO and is accountable for the overall ICAAP submission, including obtaining Citibank Uganda Limited CCC, ALCO and Board approval of the ICAAP when required. The Citibank Uganda Limited ICAAP Local Coordinator is responsible for establishing appropriate governance and internal controls for the end-to-end ICAAP process including compliance with this Standard.</w:t>
      </w:r>
    </w:p>
    <w:p w14:paraId="363EF379" w14:textId="77777777" w:rsidR="00E00A20" w:rsidRPr="00F866F6" w:rsidRDefault="00E00A20" w:rsidP="00E00A20">
      <w:pPr>
        <w:rPr>
          <w:rFonts w:ascii="Arial" w:hAnsi="Arial" w:cs="Arial"/>
          <w:sz w:val="20"/>
          <w:szCs w:val="20"/>
        </w:rPr>
      </w:pPr>
      <w:r w:rsidRPr="00F866F6">
        <w:rPr>
          <w:rFonts w:ascii="Arial" w:hAnsi="Arial" w:cs="Arial"/>
          <w:sz w:val="20"/>
          <w:szCs w:val="20"/>
        </w:rPr>
        <w:t>See Citi Global ICAAP Standard for ICAAP requirements.</w:t>
      </w:r>
    </w:p>
    <w:p w14:paraId="280F36A9" w14:textId="77777777" w:rsidR="00E00A20" w:rsidRPr="00F866F6" w:rsidRDefault="00E00A20" w:rsidP="00E00A20">
      <w:pPr>
        <w:rPr>
          <w:rFonts w:ascii="Arial" w:hAnsi="Arial" w:cs="Arial"/>
          <w:sz w:val="20"/>
          <w:szCs w:val="20"/>
        </w:rPr>
      </w:pPr>
    </w:p>
    <w:p w14:paraId="6AB0B2BB" w14:textId="77777777" w:rsidR="00E00A20" w:rsidRPr="00F866F6" w:rsidRDefault="00E00A20" w:rsidP="00E00A20">
      <w:pPr>
        <w:rPr>
          <w:rFonts w:ascii="Arial" w:hAnsi="Arial" w:cs="Arial"/>
          <w:sz w:val="20"/>
          <w:szCs w:val="20"/>
        </w:rPr>
      </w:pPr>
    </w:p>
    <w:p w14:paraId="17C598C3" w14:textId="77777777" w:rsidR="00E00A20" w:rsidRPr="00F866F6" w:rsidRDefault="00E00A20" w:rsidP="007D0EB4">
      <w:pPr>
        <w:pStyle w:val="Heading2"/>
        <w:numPr>
          <w:ilvl w:val="0"/>
          <w:numId w:val="17"/>
        </w:numPr>
        <w:ind w:left="540" w:hanging="540"/>
        <w:rPr>
          <w:rFonts w:ascii="Arial" w:hAnsi="Arial" w:cs="Arial"/>
          <w:b/>
          <w:bCs/>
          <w:color w:val="auto"/>
          <w:sz w:val="24"/>
          <w:szCs w:val="24"/>
        </w:rPr>
      </w:pPr>
      <w:bookmarkStart w:id="60" w:name="_Toc130808277"/>
      <w:bookmarkStart w:id="61" w:name="_Toc130808483"/>
      <w:bookmarkStart w:id="62" w:name="_Toc130809479"/>
      <w:bookmarkStart w:id="63" w:name="_Toc130809969"/>
      <w:bookmarkStart w:id="64" w:name="_Toc130810041"/>
      <w:bookmarkStart w:id="65" w:name="_Toc130818048"/>
      <w:bookmarkStart w:id="66" w:name="_Toc130818129"/>
      <w:bookmarkStart w:id="67" w:name="_Toc130818430"/>
      <w:bookmarkStart w:id="68" w:name="_Toc130818643"/>
      <w:bookmarkStart w:id="69" w:name="_Toc130818855"/>
      <w:bookmarkStart w:id="70" w:name="_Toc130818992"/>
      <w:bookmarkStart w:id="71" w:name="_Toc130819048"/>
      <w:bookmarkStart w:id="72" w:name="_Toc130819297"/>
      <w:bookmarkStart w:id="73" w:name="_Toc130820675"/>
      <w:bookmarkStart w:id="74" w:name="_Toc130820771"/>
      <w:bookmarkStart w:id="75" w:name="_Toc130828521"/>
      <w:bookmarkStart w:id="76" w:name="_Toc130828613"/>
      <w:bookmarkStart w:id="77" w:name="_Toc130991727"/>
      <w:bookmarkStart w:id="78" w:name="_Toc130808484"/>
      <w:bookmarkStart w:id="79" w:name="_Toc13513671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866F6">
        <w:rPr>
          <w:rFonts w:ascii="Arial" w:hAnsi="Arial" w:cs="Arial"/>
          <w:b/>
          <w:bCs/>
          <w:color w:val="auto"/>
          <w:sz w:val="24"/>
          <w:szCs w:val="24"/>
        </w:rPr>
        <w:t>Risk Lifecycle</w:t>
      </w:r>
      <w:bookmarkEnd w:id="78"/>
      <w:bookmarkEnd w:id="79"/>
    </w:p>
    <w:p w14:paraId="128228BD" w14:textId="77777777" w:rsidR="00E00A20" w:rsidRPr="00F866F6" w:rsidRDefault="00E00A20" w:rsidP="00E00A20">
      <w:pPr>
        <w:rPr>
          <w:rFonts w:ascii="Arial" w:hAnsi="Arial" w:cs="Arial"/>
        </w:rPr>
      </w:pPr>
    </w:p>
    <w:p w14:paraId="2661A178" w14:textId="77777777" w:rsidR="00E00A20" w:rsidRPr="00F866F6" w:rsidRDefault="00E00A20" w:rsidP="007D0EB4">
      <w:pPr>
        <w:pStyle w:val="Heading3"/>
        <w:numPr>
          <w:ilvl w:val="2"/>
          <w:numId w:val="22"/>
        </w:numPr>
        <w:ind w:hanging="720"/>
        <w:rPr>
          <w:rFonts w:ascii="Arial" w:hAnsi="Arial" w:cs="Arial"/>
          <w:color w:val="auto"/>
        </w:rPr>
      </w:pPr>
      <w:bookmarkStart w:id="80" w:name="_Toc130808485"/>
      <w:bookmarkStart w:id="81" w:name="_Toc135136717"/>
      <w:r w:rsidRPr="00F866F6">
        <w:rPr>
          <w:rFonts w:ascii="Arial" w:hAnsi="Arial" w:cs="Arial"/>
          <w:color w:val="auto"/>
        </w:rPr>
        <w:t>Risk Lifecycle of Credit Risk</w:t>
      </w:r>
      <w:bookmarkEnd w:id="80"/>
      <w:bookmarkEnd w:id="81"/>
      <w:r w:rsidRPr="00F866F6">
        <w:rPr>
          <w:rFonts w:ascii="Arial" w:hAnsi="Arial" w:cs="Arial"/>
          <w:color w:val="auto"/>
        </w:rPr>
        <w:t xml:space="preserve"> </w:t>
      </w:r>
    </w:p>
    <w:p w14:paraId="0A7C4506" w14:textId="77777777" w:rsidR="00E00A20" w:rsidRPr="004058D7" w:rsidRDefault="00E00A20" w:rsidP="00E00A20">
      <w:pPr>
        <w:rPr>
          <w:rFonts w:ascii="Arial" w:hAnsi="Arial" w:cs="Arial"/>
          <w:sz w:val="20"/>
          <w:szCs w:val="20"/>
        </w:rPr>
      </w:pPr>
      <w:r w:rsidRPr="004058D7">
        <w:rPr>
          <w:rFonts w:ascii="Arial" w:hAnsi="Arial" w:cs="Arial"/>
          <w:sz w:val="20"/>
          <w:szCs w:val="20"/>
        </w:rPr>
        <w:t xml:space="preserve">Credit Risk may be categorized as wholesale or retail. Credit Risk arises in both classifiably managed credit portfolios and delinquency managed credit portfolios. </w:t>
      </w:r>
    </w:p>
    <w:p w14:paraId="5C70B525" w14:textId="77777777" w:rsidR="00E00A20" w:rsidRPr="004058D7" w:rsidRDefault="00E00A20" w:rsidP="00E00A20">
      <w:pPr>
        <w:rPr>
          <w:rFonts w:ascii="Arial" w:hAnsi="Arial" w:cs="Arial"/>
          <w:strike/>
          <w:sz w:val="20"/>
          <w:szCs w:val="20"/>
        </w:rPr>
      </w:pPr>
      <w:r w:rsidRPr="004058D7">
        <w:rPr>
          <w:rFonts w:ascii="Arial" w:hAnsi="Arial" w:cs="Arial"/>
          <w:sz w:val="20"/>
          <w:szCs w:val="20"/>
        </w:rPr>
        <w:t>Credit Risk can originate from business activities booked in Citibank Uganda Limited, which include, but are not limited to corporate lending, including lending to financial and sovereign institutions; capital markets derivative transactions and structured finance; settlement and clearing activities; and securities financing transactions.</w:t>
      </w:r>
    </w:p>
    <w:p w14:paraId="6AE22E98" w14:textId="77777777" w:rsidR="00E00A20" w:rsidRPr="004058D7" w:rsidRDefault="00E00A20" w:rsidP="00E00A20">
      <w:pPr>
        <w:rPr>
          <w:rFonts w:ascii="Arial" w:hAnsi="Arial" w:cs="Arial"/>
          <w:b/>
          <w:sz w:val="20"/>
          <w:szCs w:val="20"/>
        </w:rPr>
      </w:pPr>
      <w:r w:rsidRPr="004058D7">
        <w:rPr>
          <w:rFonts w:ascii="Arial" w:hAnsi="Arial" w:cs="Arial"/>
          <w:b/>
          <w:sz w:val="20"/>
          <w:szCs w:val="20"/>
        </w:rPr>
        <w:t>Inter-Affiliate Transactions</w:t>
      </w:r>
    </w:p>
    <w:p w14:paraId="02227B7A" w14:textId="77777777" w:rsidR="00E00A20" w:rsidRDefault="00E00A20" w:rsidP="00E00A20">
      <w:pPr>
        <w:rPr>
          <w:rFonts w:ascii="Arial" w:hAnsi="Arial" w:cs="Arial"/>
          <w:sz w:val="20"/>
          <w:szCs w:val="20"/>
        </w:rPr>
      </w:pPr>
      <w:r w:rsidRPr="004058D7">
        <w:rPr>
          <w:rFonts w:ascii="Arial" w:hAnsi="Arial" w:cs="Arial"/>
          <w:sz w:val="20"/>
          <w:szCs w:val="20"/>
        </w:rPr>
        <w:t>The risk management approach outlined in sections 2.6.1.1 to 2.6.1.5 s also applicable for risk managing extensions of credit between Citibank Uganda Limited and other Citigroup Inc. affiliates. Further details on the establishment of credit facilities, limits, exception monitoring and approval requirements, can be found in the Inter-affiliate Risk Management Standard.</w:t>
      </w:r>
    </w:p>
    <w:p w14:paraId="7FE7AD57" w14:textId="77777777" w:rsidR="00E00A20" w:rsidRPr="00F866F6" w:rsidRDefault="00E00A20" w:rsidP="00E00A20"/>
    <w:p w14:paraId="75F1E162" w14:textId="77777777" w:rsidR="00E00A20" w:rsidRPr="00F866F6" w:rsidRDefault="00E00A20" w:rsidP="007D0EB4">
      <w:pPr>
        <w:pStyle w:val="Heading4"/>
        <w:numPr>
          <w:ilvl w:val="0"/>
          <w:numId w:val="23"/>
        </w:numPr>
        <w:ind w:left="1440" w:hanging="1080"/>
        <w:rPr>
          <w:rFonts w:ascii="Arial" w:hAnsi="Arial" w:cs="Arial"/>
          <w:color w:val="auto"/>
        </w:rPr>
      </w:pPr>
      <w:r w:rsidRPr="00F866F6">
        <w:rPr>
          <w:rFonts w:ascii="Arial" w:hAnsi="Arial" w:cs="Arial"/>
          <w:i w:val="0"/>
          <w:iCs w:val="0"/>
          <w:color w:val="auto"/>
        </w:rPr>
        <w:t>Risk</w:t>
      </w:r>
      <w:r w:rsidRPr="00F866F6">
        <w:rPr>
          <w:rFonts w:ascii="Arial" w:hAnsi="Arial" w:cs="Arial"/>
          <w:color w:val="auto"/>
        </w:rPr>
        <w:t xml:space="preserve"> </w:t>
      </w:r>
      <w:r w:rsidRPr="00F866F6">
        <w:rPr>
          <w:rFonts w:ascii="Arial" w:hAnsi="Arial" w:cs="Arial"/>
          <w:i w:val="0"/>
          <w:iCs w:val="0"/>
          <w:color w:val="auto"/>
        </w:rPr>
        <w:t>Identification</w:t>
      </w:r>
    </w:p>
    <w:p w14:paraId="5B606A68"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Risk identification and assessment is performed on an ongoing basis through a range of processes outlined in Citi Credit Risk policies. </w:t>
      </w:r>
    </w:p>
    <w:p w14:paraId="1CDEF0B9"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For Wholesale Credit Risk, the review of a counterparty in classifiably managed credit underwriting transaction decisions, name-specific or portfolio-level reviews (e.g., by product types, industry sectors, classification) and evaluation of trends in delinquency managed portfolio indicators (e.g., approval rates, credit line utilization, roll rates, etc.) are all forms of risk identification and assessment. These processes take place at the Citi-wide level, with consideration for legal entity impacts. </w:t>
      </w:r>
    </w:p>
    <w:p w14:paraId="2FC5B3FD" w14:textId="77777777" w:rsidR="00E00A20" w:rsidRPr="00F866F6" w:rsidRDefault="00E00A20" w:rsidP="00E00A20">
      <w:pPr>
        <w:rPr>
          <w:rFonts w:ascii="Arial" w:hAnsi="Arial" w:cs="Arial"/>
          <w:sz w:val="20"/>
          <w:szCs w:val="20"/>
        </w:rPr>
      </w:pPr>
    </w:p>
    <w:p w14:paraId="4E96AF06" w14:textId="77777777" w:rsidR="00E00A20" w:rsidRPr="00F866F6" w:rsidRDefault="00E00A20" w:rsidP="007D0EB4">
      <w:pPr>
        <w:pStyle w:val="Heading4"/>
        <w:numPr>
          <w:ilvl w:val="0"/>
          <w:numId w:val="23"/>
        </w:numPr>
        <w:ind w:left="1440" w:hanging="1080"/>
        <w:rPr>
          <w:rFonts w:ascii="Arial" w:hAnsi="Arial" w:cs="Arial"/>
          <w:color w:val="auto"/>
        </w:rPr>
      </w:pPr>
      <w:r w:rsidRPr="00F866F6">
        <w:rPr>
          <w:rFonts w:ascii="Arial" w:hAnsi="Arial" w:cs="Arial"/>
          <w:i w:val="0"/>
          <w:iCs w:val="0"/>
          <w:color w:val="auto"/>
        </w:rPr>
        <w:t>Risk</w:t>
      </w:r>
      <w:r w:rsidRPr="00F866F6">
        <w:rPr>
          <w:rFonts w:ascii="Arial" w:hAnsi="Arial" w:cs="Arial"/>
          <w:color w:val="auto"/>
        </w:rPr>
        <w:t xml:space="preserve"> </w:t>
      </w:r>
      <w:r w:rsidRPr="00F866F6">
        <w:rPr>
          <w:rFonts w:ascii="Arial" w:hAnsi="Arial" w:cs="Arial"/>
          <w:i w:val="0"/>
          <w:iCs w:val="0"/>
          <w:color w:val="auto"/>
        </w:rPr>
        <w:t>Measurement</w:t>
      </w:r>
    </w:p>
    <w:p w14:paraId="05C56947" w14:textId="77777777" w:rsidR="00E00A20" w:rsidRPr="00F866F6" w:rsidRDefault="00E00A20" w:rsidP="00E00A20">
      <w:pPr>
        <w:tabs>
          <w:tab w:val="left" w:pos="360"/>
        </w:tabs>
        <w:ind w:left="360"/>
        <w:rPr>
          <w:rFonts w:ascii="Arial" w:hAnsi="Arial" w:cs="Arial"/>
          <w:sz w:val="20"/>
          <w:szCs w:val="20"/>
        </w:rPr>
      </w:pPr>
      <w:r w:rsidRPr="00F866F6">
        <w:rPr>
          <w:rFonts w:ascii="Arial" w:hAnsi="Arial" w:cs="Arial"/>
          <w:sz w:val="20"/>
          <w:szCs w:val="20"/>
        </w:rPr>
        <w:t>Citibank Uganda Limited measures Credit Risk within the entity as outlined in Wholesale Credit Risk Policy (“WCRP”) and associated standards and procedures.</w:t>
      </w:r>
    </w:p>
    <w:p w14:paraId="01647215" w14:textId="77777777" w:rsidR="00E00A20" w:rsidRPr="00F866F6" w:rsidRDefault="00E00A20" w:rsidP="00E00A20">
      <w:pPr>
        <w:tabs>
          <w:tab w:val="left" w:pos="360"/>
        </w:tabs>
        <w:ind w:left="360"/>
        <w:rPr>
          <w:rFonts w:ascii="Arial" w:hAnsi="Arial" w:cs="Arial"/>
          <w:sz w:val="20"/>
          <w:szCs w:val="20"/>
        </w:rPr>
      </w:pPr>
      <w:r w:rsidRPr="00F866F6">
        <w:rPr>
          <w:rFonts w:ascii="Arial" w:hAnsi="Arial" w:cs="Arial"/>
          <w:sz w:val="20"/>
          <w:szCs w:val="20"/>
        </w:rPr>
        <w:t xml:space="preserve">Commonly used classifiably managed Credit Risk measures and metrics include counterparty risk rating (i.e., Probability of default), loss given default, exposure at default, credit classifications, Risk Capital, expected loss, stress loss, wholesale credit stress loss, wholesale lending stress loss, distribution risk, leveraged lending – direct, indirect, Derivative and Securities Financing Transactions (“DSFT”) portfolio, DSFT less liquid collateral, Commercial real estate exposure, etc.  </w:t>
      </w:r>
    </w:p>
    <w:p w14:paraId="05794655" w14:textId="77777777" w:rsidR="00E00A20" w:rsidRPr="00F866F6" w:rsidRDefault="00E00A20" w:rsidP="00E00A20">
      <w:pPr>
        <w:tabs>
          <w:tab w:val="left" w:pos="360"/>
        </w:tabs>
        <w:ind w:left="360"/>
        <w:rPr>
          <w:rFonts w:ascii="Arial" w:hAnsi="Arial" w:cs="Arial"/>
          <w:sz w:val="20"/>
          <w:szCs w:val="20"/>
        </w:rPr>
      </w:pPr>
      <w:r w:rsidRPr="00F866F6">
        <w:rPr>
          <w:rFonts w:ascii="Arial" w:hAnsi="Arial" w:cs="Arial"/>
          <w:sz w:val="20"/>
          <w:szCs w:val="20"/>
        </w:rPr>
        <w:t xml:space="preserve">Citibank Uganda </w:t>
      </w:r>
      <w:r w:rsidRPr="00115D93">
        <w:rPr>
          <w:rFonts w:ascii="Arial" w:hAnsi="Arial" w:cs="Arial"/>
          <w:sz w:val="20"/>
          <w:szCs w:val="20"/>
        </w:rPr>
        <w:t>maintains a Local Credit Desk Procedure</w:t>
      </w:r>
      <w:r w:rsidRPr="003C2E6C">
        <w:rPr>
          <w:rFonts w:ascii="Arial" w:hAnsi="Arial" w:cs="Arial"/>
          <w:sz w:val="20"/>
          <w:szCs w:val="20"/>
        </w:rPr>
        <w:t xml:space="preserve"> </w:t>
      </w:r>
      <w:r w:rsidRPr="00F866F6">
        <w:rPr>
          <w:rFonts w:ascii="Arial" w:hAnsi="Arial" w:cs="Arial"/>
          <w:sz w:val="20"/>
          <w:szCs w:val="20"/>
        </w:rPr>
        <w:t>that reflects the transposition of the local regulatory requirements into the process of credit classifications and approvals.</w:t>
      </w:r>
    </w:p>
    <w:p w14:paraId="188BCEEC" w14:textId="77777777" w:rsidR="00E00A20" w:rsidRPr="00F866F6" w:rsidRDefault="00E00A20" w:rsidP="00E00A20">
      <w:pPr>
        <w:tabs>
          <w:tab w:val="left" w:pos="360"/>
        </w:tabs>
        <w:ind w:left="360"/>
        <w:rPr>
          <w:rFonts w:ascii="Arial" w:hAnsi="Arial" w:cs="Arial"/>
        </w:rPr>
      </w:pPr>
      <w:r w:rsidRPr="00F866F6">
        <w:rPr>
          <w:rFonts w:ascii="Arial" w:hAnsi="Arial" w:cs="Arial"/>
        </w:rPr>
        <w:t xml:space="preserve"> </w:t>
      </w:r>
    </w:p>
    <w:p w14:paraId="468E00DE" w14:textId="77777777" w:rsidR="00E00A20" w:rsidRPr="00F866F6" w:rsidRDefault="00E00A20" w:rsidP="007D0EB4">
      <w:pPr>
        <w:pStyle w:val="Heading4"/>
        <w:numPr>
          <w:ilvl w:val="0"/>
          <w:numId w:val="23"/>
        </w:numPr>
        <w:ind w:left="1440" w:hanging="1080"/>
        <w:rPr>
          <w:rFonts w:ascii="Arial" w:hAnsi="Arial" w:cs="Arial"/>
          <w:color w:val="auto"/>
        </w:rPr>
      </w:pPr>
      <w:r w:rsidRPr="00F866F6">
        <w:rPr>
          <w:rFonts w:ascii="Arial" w:hAnsi="Arial" w:cs="Arial"/>
          <w:i w:val="0"/>
          <w:iCs w:val="0"/>
          <w:color w:val="auto"/>
        </w:rPr>
        <w:t>Risk</w:t>
      </w:r>
      <w:r w:rsidRPr="00F866F6">
        <w:rPr>
          <w:rFonts w:ascii="Arial" w:hAnsi="Arial" w:cs="Arial"/>
          <w:color w:val="auto"/>
        </w:rPr>
        <w:t xml:space="preserve"> </w:t>
      </w:r>
      <w:r w:rsidRPr="00F866F6">
        <w:rPr>
          <w:rFonts w:ascii="Arial" w:hAnsi="Arial" w:cs="Arial"/>
          <w:i w:val="0"/>
          <w:iCs w:val="0"/>
          <w:color w:val="auto"/>
        </w:rPr>
        <w:t>Monitoring</w:t>
      </w:r>
    </w:p>
    <w:p w14:paraId="50C42A02"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Credit Monitoring as outlined in the WCR policy is the process of monitoring Credit Risk at the obligor, facility, and portfolio levels against risk limits and tolerances via Key Risk Indicators (“KRIs”) benchmarks and financial measures.</w:t>
      </w:r>
    </w:p>
    <w:p w14:paraId="108C6738" w14:textId="77777777" w:rsidR="00E00A20" w:rsidRPr="00F866F6" w:rsidRDefault="00E00A20" w:rsidP="00E00A20">
      <w:pPr>
        <w:ind w:left="360"/>
      </w:pPr>
      <w:r w:rsidRPr="00F866F6">
        <w:rPr>
          <w:rFonts w:ascii="Arial" w:hAnsi="Arial" w:cs="Arial"/>
          <w:sz w:val="20"/>
          <w:szCs w:val="20"/>
        </w:rPr>
        <w:t>It involves the ongoing review of existing Credit Risks and new Credit Risks, including emerging risks and early warning indicators, sizing risks relative to risk appetite, limits, stress loss, revenue opportunities, and taking appropriate mitigating actions.</w:t>
      </w:r>
      <w:bookmarkStart w:id="82" w:name="_Hlk104454573"/>
    </w:p>
    <w:p w14:paraId="756096AC"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Portfolio level monitoring involves the review and assessment of the composition and quality of the credit portfolio at different prescribed segments. The monitoring provides insight into concentration and risk appetite impacts</w:t>
      </w:r>
      <w:bookmarkEnd w:id="82"/>
      <w:r w:rsidRPr="00F866F6">
        <w:rPr>
          <w:rFonts w:ascii="Arial" w:hAnsi="Arial" w:cs="Arial"/>
          <w:sz w:val="20"/>
          <w:szCs w:val="20"/>
        </w:rPr>
        <w:t xml:space="preserve">. </w:t>
      </w:r>
    </w:p>
    <w:p w14:paraId="158141B1"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Wholesale Credit Risk metrics and Risk Appetite are re-validated at least annually during the Risk Appetite and Tolerance Framework review process, or more frequently if there are any material changes to the target market, segmentation, or business strategy.</w:t>
      </w:r>
    </w:p>
    <w:p w14:paraId="1AC1EADC"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Limits management and monitoring involves setting, monitoring, and managing limits at various levels and dimensions in alignment with Citi’s Enterprise Concentration Risk Management Policy.</w:t>
      </w:r>
    </w:p>
    <w:p w14:paraId="1C5BBF4F" w14:textId="77777777" w:rsidR="00E00A20" w:rsidRPr="00F866F6" w:rsidRDefault="00E00A20" w:rsidP="00E00A20">
      <w:pPr>
        <w:rPr>
          <w:rFonts w:ascii="Arial" w:hAnsi="Arial" w:cs="Arial"/>
          <w:sz w:val="20"/>
          <w:szCs w:val="20"/>
        </w:rPr>
      </w:pPr>
    </w:p>
    <w:p w14:paraId="06C6F4D2" w14:textId="77777777" w:rsidR="00E00A20" w:rsidRPr="00F866F6" w:rsidRDefault="00E00A20" w:rsidP="007D0EB4">
      <w:pPr>
        <w:pStyle w:val="Heading4"/>
        <w:numPr>
          <w:ilvl w:val="0"/>
          <w:numId w:val="23"/>
        </w:numPr>
        <w:ind w:left="1440" w:hanging="1080"/>
        <w:rPr>
          <w:rFonts w:ascii="Arial" w:hAnsi="Arial" w:cs="Arial"/>
          <w:color w:val="auto"/>
        </w:rPr>
      </w:pPr>
      <w:r w:rsidRPr="00F866F6">
        <w:rPr>
          <w:rFonts w:ascii="Arial" w:hAnsi="Arial" w:cs="Arial"/>
          <w:i w:val="0"/>
          <w:iCs w:val="0"/>
          <w:color w:val="auto"/>
        </w:rPr>
        <w:t>Risk</w:t>
      </w:r>
      <w:r w:rsidRPr="00F866F6">
        <w:rPr>
          <w:rFonts w:ascii="Arial" w:hAnsi="Arial" w:cs="Arial"/>
          <w:color w:val="auto"/>
        </w:rPr>
        <w:t xml:space="preserve"> </w:t>
      </w:r>
      <w:r w:rsidRPr="00F866F6">
        <w:rPr>
          <w:rFonts w:ascii="Arial" w:hAnsi="Arial" w:cs="Arial"/>
          <w:i w:val="0"/>
          <w:iCs w:val="0"/>
          <w:color w:val="auto"/>
        </w:rPr>
        <w:t>Control</w:t>
      </w:r>
    </w:p>
    <w:p w14:paraId="19AADBD5" w14:textId="77777777" w:rsidR="00E00A20" w:rsidRPr="00F866F6" w:rsidRDefault="00E00A20" w:rsidP="00E00A20">
      <w:pPr>
        <w:ind w:left="360"/>
        <w:rPr>
          <w:rFonts w:ascii="Arial" w:hAnsi="Arial" w:cs="Arial"/>
          <w:sz w:val="20"/>
          <w:szCs w:val="20"/>
        </w:rPr>
      </w:pPr>
      <w:bookmarkStart w:id="83" w:name="_Hlk103854539"/>
      <w:r w:rsidRPr="00F866F6">
        <w:rPr>
          <w:rFonts w:ascii="Arial" w:hAnsi="Arial" w:cs="Arial"/>
          <w:sz w:val="20"/>
          <w:szCs w:val="20"/>
        </w:rPr>
        <w:t>Citibank Uganda Limited maintains a risk appetite which includes risk limits, including concentration limits as managed by business segments. Risk limits include delegated authorities and escalation thresholds, driven by the senior management and/or business management requirements.</w:t>
      </w:r>
    </w:p>
    <w:p w14:paraId="4AC02F0E"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Credit Risk controls involve setting limits at various levels and dimensions covering individual counterparties (with sub-limits for products), portfolios (e.g., industry, country, and issuer), correlation risk and products with specialized risk profiles (e.g., Product Limits). In addition, the banking book, including a subset of Trading book positions associated with credit and counterparty Credit Risk, has a comprehensive limit framework for managing, reviewing, and approving concentrations around single names, correlation risk and products with specialized risk profiles. Concentration limits may be based on exposure or Risk Capital and may also be based on cost of credit or stress loss.</w:t>
      </w:r>
    </w:p>
    <w:p w14:paraId="49D9FA29"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Limits can also be set at business segment (e.g., Services / Markets / Banking), legal entity, country, </w:t>
      </w:r>
      <w:proofErr w:type="gramStart"/>
      <w:r w:rsidRPr="00F866F6">
        <w:rPr>
          <w:rFonts w:ascii="Arial" w:hAnsi="Arial" w:cs="Arial"/>
          <w:sz w:val="20"/>
          <w:szCs w:val="20"/>
        </w:rPr>
        <w:t>an</w:t>
      </w:r>
      <w:proofErr w:type="gramEnd"/>
      <w:r w:rsidRPr="00F866F6">
        <w:rPr>
          <w:rFonts w:ascii="Arial" w:hAnsi="Arial" w:cs="Arial"/>
          <w:sz w:val="20"/>
          <w:szCs w:val="20"/>
        </w:rPr>
        <w:t xml:space="preserve"> cluster levels.</w:t>
      </w:r>
    </w:p>
    <w:bookmarkEnd w:id="83"/>
    <w:p w14:paraId="4A5EDB13"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For transactions where thresholds may be breached, first line of defense requests for transaction approval from the Citibank Uganda Limited Credit Risk Manager who has been delegated authority by the Citibank Uganda Limited Board of Directors. These requests and approvals are in adherence to approval grids specified in relevant Credit Risk Policies.</w:t>
      </w:r>
    </w:p>
    <w:p w14:paraId="34073C1F" w14:textId="77777777" w:rsidR="00E00A20" w:rsidRPr="00F866F6" w:rsidRDefault="00E00A20" w:rsidP="00E00A20">
      <w:pPr>
        <w:rPr>
          <w:rFonts w:ascii="Arial" w:hAnsi="Arial" w:cs="Arial"/>
        </w:rPr>
      </w:pPr>
    </w:p>
    <w:p w14:paraId="149A5166" w14:textId="77777777" w:rsidR="00E00A20" w:rsidRPr="00F866F6" w:rsidRDefault="00E00A20" w:rsidP="007D0EB4">
      <w:pPr>
        <w:pStyle w:val="Heading4"/>
        <w:numPr>
          <w:ilvl w:val="0"/>
          <w:numId w:val="23"/>
        </w:numPr>
        <w:ind w:left="1440" w:hanging="1080"/>
        <w:rPr>
          <w:rFonts w:ascii="Arial" w:hAnsi="Arial" w:cs="Arial"/>
          <w:color w:val="auto"/>
        </w:rPr>
      </w:pPr>
      <w:r w:rsidRPr="00F866F6">
        <w:rPr>
          <w:rFonts w:ascii="Arial" w:hAnsi="Arial" w:cs="Arial"/>
          <w:i w:val="0"/>
          <w:iCs w:val="0"/>
          <w:color w:val="auto"/>
        </w:rPr>
        <w:t>Risk Reporting</w:t>
      </w:r>
    </w:p>
    <w:p w14:paraId="7F316B40" w14:textId="77777777" w:rsidR="00E00A20" w:rsidRPr="00F866F6" w:rsidRDefault="00E00A20" w:rsidP="00E00A20">
      <w:pPr>
        <w:ind w:left="360"/>
        <w:rPr>
          <w:rFonts w:ascii="Arial" w:hAnsi="Arial" w:cs="Arial"/>
          <w:sz w:val="20"/>
          <w:szCs w:val="20"/>
        </w:rPr>
      </w:pPr>
      <w:bookmarkStart w:id="84" w:name="_Hlk103854899"/>
      <w:r w:rsidRPr="00F866F6">
        <w:rPr>
          <w:rFonts w:ascii="Arial" w:hAnsi="Arial" w:cs="Arial"/>
          <w:sz w:val="20"/>
          <w:szCs w:val="20"/>
        </w:rPr>
        <w:t xml:space="preserve">Credit Risk Reports provide information on exposures and metrics related to individual counterparties, industries/sectors, portfolios, product programs and delinquent or impaired counterparties. Reporting is done at legal entity and country. Reports are produced monthly (e.g., monitoring of Industry, Company Specific and Product Limits, Cross border limits, concentration limits, portfolio classification and Legal Lending Limits), and quarterly (e.g., risk appetite surplus and risk appetite ratio). </w:t>
      </w:r>
    </w:p>
    <w:p w14:paraId="25EC751B"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Credit Risk Reporting includes Management reports, Regulatory reports, and Risk reports that are used to provide an assessment of performance, effectiveness of controls, existing risks, emerging risks, concentrations, and other risk-related trends. Further details can be found in the WCRP.</w:t>
      </w:r>
    </w:p>
    <w:p w14:paraId="7B555436" w14:textId="77777777" w:rsidR="00E00A20" w:rsidRPr="00F866F6" w:rsidRDefault="00E00A20" w:rsidP="00E00A20">
      <w:pPr>
        <w:ind w:left="360"/>
        <w:rPr>
          <w:rFonts w:ascii="Arial" w:hAnsi="Arial" w:cs="Arial"/>
          <w:sz w:val="20"/>
          <w:szCs w:val="20"/>
        </w:rPr>
      </w:pPr>
      <w:proofErr w:type="gramStart"/>
      <w:r w:rsidRPr="00F866F6">
        <w:rPr>
          <w:rFonts w:ascii="Arial" w:hAnsi="Arial" w:cs="Arial"/>
          <w:sz w:val="20"/>
          <w:szCs w:val="20"/>
        </w:rPr>
        <w:t>In order to</w:t>
      </w:r>
      <w:proofErr w:type="gramEnd"/>
      <w:r w:rsidRPr="00F866F6">
        <w:rPr>
          <w:rFonts w:ascii="Arial" w:hAnsi="Arial" w:cs="Arial"/>
          <w:sz w:val="20"/>
          <w:szCs w:val="20"/>
        </w:rPr>
        <w:t xml:space="preserve"> oversee the Credit Risk in Citibank Uganda Limited, a combination of reports is used by the Citibank Uganda Limited Senior Management for CCC and Board Credit Committee reporting. </w:t>
      </w:r>
    </w:p>
    <w:p w14:paraId="138C9FCB" w14:textId="77777777" w:rsidR="00E00A20" w:rsidRPr="00F866F6" w:rsidRDefault="00E00A20" w:rsidP="00E00A20">
      <w:pPr>
        <w:ind w:left="360"/>
        <w:rPr>
          <w:rFonts w:ascii="Arial" w:hAnsi="Arial" w:cs="Arial"/>
          <w:bCs/>
          <w:sz w:val="20"/>
          <w:szCs w:val="20"/>
        </w:rPr>
      </w:pPr>
    </w:p>
    <w:p w14:paraId="14DAF21C" w14:textId="77777777" w:rsidR="00E00A20" w:rsidRPr="00F866F6" w:rsidRDefault="00E00A20" w:rsidP="007D0EB4">
      <w:pPr>
        <w:pStyle w:val="Heading3"/>
        <w:numPr>
          <w:ilvl w:val="2"/>
          <w:numId w:val="22"/>
        </w:numPr>
        <w:ind w:hanging="720"/>
        <w:rPr>
          <w:rFonts w:ascii="Arial" w:hAnsi="Arial" w:cs="Arial"/>
          <w:color w:val="auto"/>
        </w:rPr>
      </w:pPr>
      <w:bookmarkStart w:id="85" w:name="_Toc130808486"/>
      <w:bookmarkStart w:id="86" w:name="_Toc135136718"/>
      <w:bookmarkStart w:id="87" w:name="_Toc104362131"/>
      <w:bookmarkEnd w:id="84"/>
      <w:r w:rsidRPr="00F866F6">
        <w:rPr>
          <w:rFonts w:ascii="Arial" w:hAnsi="Arial" w:cs="Arial"/>
          <w:color w:val="auto"/>
        </w:rPr>
        <w:t>Risk Lifecycle of Trading Market Risk</w:t>
      </w:r>
      <w:bookmarkEnd w:id="85"/>
      <w:bookmarkEnd w:id="86"/>
      <w:r w:rsidRPr="00F866F6">
        <w:rPr>
          <w:rFonts w:ascii="Arial" w:hAnsi="Arial" w:cs="Arial"/>
          <w:color w:val="auto"/>
        </w:rPr>
        <w:t xml:space="preserve"> </w:t>
      </w:r>
    </w:p>
    <w:p w14:paraId="2E86DAF7" w14:textId="77777777" w:rsidR="00E00A20" w:rsidRPr="00F866F6" w:rsidRDefault="00E00A20" w:rsidP="007D0EB4">
      <w:pPr>
        <w:pStyle w:val="Heading4"/>
        <w:numPr>
          <w:ilvl w:val="0"/>
          <w:numId w:val="27"/>
        </w:numPr>
        <w:ind w:left="1440" w:hanging="1080"/>
        <w:rPr>
          <w:rFonts w:ascii="Arial" w:hAnsi="Arial" w:cs="Arial"/>
          <w:color w:val="auto"/>
        </w:rPr>
      </w:pPr>
      <w:r w:rsidRPr="00F866F6">
        <w:rPr>
          <w:rFonts w:ascii="Arial" w:hAnsi="Arial" w:cs="Arial"/>
          <w:i w:val="0"/>
          <w:iCs w:val="0"/>
          <w:color w:val="auto"/>
        </w:rPr>
        <w:t>Risk</w:t>
      </w:r>
      <w:r w:rsidRPr="00F866F6">
        <w:rPr>
          <w:rFonts w:ascii="Arial" w:hAnsi="Arial" w:cs="Arial"/>
          <w:color w:val="auto"/>
        </w:rPr>
        <w:t xml:space="preserve"> </w:t>
      </w:r>
      <w:r w:rsidRPr="00F866F6">
        <w:rPr>
          <w:rFonts w:ascii="Arial" w:hAnsi="Arial" w:cs="Arial"/>
          <w:i w:val="0"/>
          <w:iCs w:val="0"/>
          <w:color w:val="auto"/>
        </w:rPr>
        <w:t>Identification</w:t>
      </w:r>
    </w:p>
    <w:bookmarkEnd w:id="87"/>
    <w:p w14:paraId="068AF174"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The identification of risks including Market Risk (Trading) (or “Trading Market Risk”) aligned to the principles of the Enterprise Risk Identification Policy which defines the requirements for Risk Identification (“Risk ID”) across Citi’s Risk Taxonomy and underlying risk categories, and provides the principles and governance requirements for Risk ID. </w:t>
      </w:r>
    </w:p>
    <w:p w14:paraId="1B5D99B4"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The granularity of the limit framework depends on the complexity of risk being construed. For Tier 3 Limits, Independent Market Risk, working with the Business Sponsor ensure that all material Trading Market Risk factors to which a business is exposed to, are appropriately covered by the limit framework. Business units are responsible for the identification of material risk factors within Citibank Uganda Limited.</w:t>
      </w:r>
    </w:p>
    <w:p w14:paraId="70DE4875"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Each business unit (including Treasury) that incurs Trading Market Risk associated with its business activity, needs a Business Sponsor. Accordingly, that Business Sponsor ensures that the responsibilities of that business unit are carried out which include ensuring completeness and integrity of data supplied to independent risk systems and notifying the Market Risk Manager of any shifts in business that require a change to the limit structure. </w:t>
      </w:r>
    </w:p>
    <w:p w14:paraId="1A8EA7F1" w14:textId="77777777" w:rsidR="00E00A20" w:rsidRPr="00F866F6" w:rsidRDefault="00E00A20" w:rsidP="00E00A20">
      <w:pPr>
        <w:rPr>
          <w:i/>
          <w:iCs/>
        </w:rPr>
      </w:pPr>
    </w:p>
    <w:p w14:paraId="6DCD90B4" w14:textId="77777777" w:rsidR="00E00A20" w:rsidRPr="00F866F6" w:rsidRDefault="00E00A20" w:rsidP="007D0EB4">
      <w:pPr>
        <w:pStyle w:val="Heading4"/>
        <w:numPr>
          <w:ilvl w:val="0"/>
          <w:numId w:val="27"/>
        </w:numPr>
        <w:ind w:left="1440" w:hanging="1080"/>
        <w:rPr>
          <w:rFonts w:ascii="Arial" w:hAnsi="Arial" w:cs="Arial"/>
          <w:color w:val="auto"/>
        </w:rPr>
      </w:pPr>
      <w:r w:rsidRPr="00F866F6">
        <w:rPr>
          <w:rFonts w:ascii="Arial" w:hAnsi="Arial" w:cs="Arial"/>
          <w:i w:val="0"/>
          <w:color w:val="auto"/>
        </w:rPr>
        <w:t>Risk Measurement</w:t>
      </w:r>
    </w:p>
    <w:p w14:paraId="02354686"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Within Independent Market Risk, there is a single set of standards for the measurement of Trading Market Risk to ensure consistency across businesses, stability in methodologies, and transparency of risk. Critical measurement concepts associated with the measurement of Trading Market Risk are outlined in section 3 of the Citi MTM Risk Policy. Citibank Uganda Limited measures Trading Market Risk within the entity consistent with the Citi-wide concepts outlined in the said policy.</w:t>
      </w:r>
    </w:p>
    <w:p w14:paraId="50DF4358"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The key Trading Market Risk measures include but are not limited to: </w:t>
      </w:r>
    </w:p>
    <w:p w14:paraId="20275772" w14:textId="77777777" w:rsidR="00E00A20" w:rsidRDefault="00E00A20" w:rsidP="00E00A20">
      <w:pPr>
        <w:ind w:left="360"/>
        <w:rPr>
          <w:rFonts w:ascii="Arial" w:hAnsi="Arial" w:cs="Arial"/>
          <w:sz w:val="20"/>
          <w:szCs w:val="20"/>
        </w:rPr>
      </w:pPr>
    </w:p>
    <w:p w14:paraId="20527E0B"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Value at Risk (“VaR”), Stressed VaR (“SVaR”), factor sensitivities and stress testing. Stress testing is performed on traded portfolios on a regular basis to estimate the impact of extreme market movements. </w:t>
      </w:r>
    </w:p>
    <w:p w14:paraId="17BA265E" w14:textId="77777777" w:rsidR="00E00A20" w:rsidRPr="00115D93" w:rsidRDefault="00E00A20" w:rsidP="00E00A20">
      <w:pPr>
        <w:ind w:left="360"/>
      </w:pPr>
      <w:r w:rsidRPr="00F866F6">
        <w:rPr>
          <w:rFonts w:ascii="Arial" w:hAnsi="Arial" w:cs="Arial"/>
          <w:sz w:val="20"/>
          <w:szCs w:val="20"/>
        </w:rPr>
        <w:t xml:space="preserve">Enterprise Stress Testing Policy establishes the framework for stress testing across the Firm, described therein as the framework for evaluating the impact of adverse and / or stressful events and circumstances on the Firm’s operations and financial </w:t>
      </w:r>
      <w:r w:rsidRPr="00115D93">
        <w:rPr>
          <w:rFonts w:ascii="Arial" w:hAnsi="Arial" w:cs="Arial"/>
          <w:sz w:val="20"/>
          <w:szCs w:val="20"/>
        </w:rPr>
        <w:t>condition.</w:t>
      </w:r>
      <w:r w:rsidRPr="00115D93">
        <w:t xml:space="preserve">  </w:t>
      </w:r>
      <w:r w:rsidRPr="00115D93">
        <w:rPr>
          <w:rFonts w:ascii="Arial" w:hAnsi="Arial" w:cs="Arial"/>
          <w:sz w:val="20"/>
          <w:szCs w:val="20"/>
        </w:rPr>
        <w:t>The Stress Testing process for Trading Market Risk is classified into 2 key categories:</w:t>
      </w:r>
    </w:p>
    <w:p w14:paraId="5B5EAABB" w14:textId="77777777" w:rsidR="00E00A20" w:rsidRPr="00115D93" w:rsidRDefault="00E00A20" w:rsidP="007D0EB4">
      <w:pPr>
        <w:pStyle w:val="ListParagraph"/>
        <w:numPr>
          <w:ilvl w:val="0"/>
          <w:numId w:val="15"/>
        </w:numPr>
        <w:spacing w:line="276" w:lineRule="auto"/>
        <w:ind w:left="720"/>
        <w:rPr>
          <w:rFonts w:ascii="Arial" w:hAnsi="Arial" w:cs="Arial"/>
          <w:sz w:val="20"/>
          <w:szCs w:val="20"/>
        </w:rPr>
      </w:pPr>
      <w:r w:rsidRPr="00115D93">
        <w:rPr>
          <w:rFonts w:ascii="Arial" w:hAnsi="Arial" w:cs="Arial"/>
          <w:sz w:val="20"/>
          <w:szCs w:val="20"/>
        </w:rPr>
        <w:t>Global Systematic Stress Testing (“GSST”)</w:t>
      </w:r>
    </w:p>
    <w:p w14:paraId="59C8A5D1" w14:textId="77777777" w:rsidR="00E00A20" w:rsidRPr="00115D93" w:rsidRDefault="00E00A20" w:rsidP="00E00A20">
      <w:pPr>
        <w:pStyle w:val="ListParagraph"/>
        <w:spacing w:line="276" w:lineRule="auto"/>
        <w:rPr>
          <w:rFonts w:ascii="Arial" w:hAnsi="Arial" w:cs="Arial"/>
        </w:rPr>
      </w:pPr>
      <w:r w:rsidRPr="00115D93">
        <w:rPr>
          <w:rFonts w:ascii="Arial" w:hAnsi="Arial" w:cs="Arial"/>
          <w:sz w:val="20"/>
          <w:szCs w:val="20"/>
        </w:rPr>
        <w:t xml:space="preserve">GSSTs are designed to quantify the potential impact of extreme market movements on a firm-wide basis and are performed at least monthly. The Enterprise Stress Testing Policy sets out the requirements for (amongst other things) governance of firm-wide Global Systematic Stress Tests scenarios and methodology.  </w:t>
      </w:r>
    </w:p>
    <w:p w14:paraId="018E339F" w14:textId="77777777" w:rsidR="00E00A20" w:rsidRPr="00115D93" w:rsidRDefault="00E00A20" w:rsidP="00E00A20">
      <w:pPr>
        <w:pStyle w:val="ListParagraph"/>
        <w:spacing w:line="276" w:lineRule="auto"/>
        <w:ind w:left="360"/>
        <w:rPr>
          <w:rFonts w:ascii="Arial" w:hAnsi="Arial" w:cs="Arial"/>
          <w:sz w:val="20"/>
          <w:szCs w:val="20"/>
        </w:rPr>
      </w:pPr>
    </w:p>
    <w:p w14:paraId="475F156E" w14:textId="77777777" w:rsidR="00E00A20" w:rsidRPr="00115D93" w:rsidRDefault="00E00A20" w:rsidP="007D0EB4">
      <w:pPr>
        <w:pStyle w:val="ListParagraph"/>
        <w:numPr>
          <w:ilvl w:val="0"/>
          <w:numId w:val="15"/>
        </w:numPr>
        <w:spacing w:line="276" w:lineRule="auto"/>
        <w:ind w:left="720"/>
        <w:rPr>
          <w:rFonts w:ascii="Arial" w:hAnsi="Arial" w:cs="Arial"/>
          <w:sz w:val="20"/>
          <w:szCs w:val="20"/>
        </w:rPr>
      </w:pPr>
      <w:r w:rsidRPr="00115D93">
        <w:rPr>
          <w:rFonts w:ascii="Arial" w:hAnsi="Arial" w:cs="Arial"/>
          <w:sz w:val="20"/>
          <w:szCs w:val="20"/>
        </w:rPr>
        <w:t>Business Specific Stress Testing (“BSST”)</w:t>
      </w:r>
    </w:p>
    <w:p w14:paraId="25C5FF6B" w14:textId="77777777" w:rsidR="00E00A20" w:rsidRPr="00115D93" w:rsidRDefault="00E00A20" w:rsidP="00E00A20">
      <w:pPr>
        <w:pStyle w:val="ListParagraph"/>
        <w:spacing w:line="276" w:lineRule="auto"/>
        <w:rPr>
          <w:rFonts w:ascii="Arial" w:hAnsi="Arial" w:cs="Arial"/>
          <w:sz w:val="20"/>
          <w:szCs w:val="20"/>
        </w:rPr>
      </w:pPr>
      <w:r w:rsidRPr="00115D93">
        <w:rPr>
          <w:rFonts w:ascii="Arial" w:hAnsi="Arial" w:cs="Arial"/>
          <w:sz w:val="20"/>
          <w:szCs w:val="20"/>
        </w:rPr>
        <w:t>BSSTs are developed in response to business tailored or market-specific concerns and are performed periodically. Such stress scenarios are usually idiosyncratic in nature and are designed to probe the risks of each specific portfolio, particularly risks that are not fully captured by other risk measures like VaR or GSST.</w:t>
      </w:r>
    </w:p>
    <w:p w14:paraId="37E484BD" w14:textId="77777777" w:rsidR="00E00A20" w:rsidRPr="00115D93" w:rsidRDefault="00E00A20" w:rsidP="00E00A20">
      <w:pPr>
        <w:spacing w:line="276" w:lineRule="auto"/>
        <w:ind w:left="360"/>
        <w:rPr>
          <w:rFonts w:ascii="Arial" w:eastAsia="Arial" w:hAnsi="Arial" w:cs="Arial"/>
          <w:sz w:val="20"/>
          <w:szCs w:val="20"/>
          <w:lang w:val="en-US" w:eastAsia="en-US"/>
        </w:rPr>
      </w:pPr>
      <w:r w:rsidRPr="00115D93">
        <w:rPr>
          <w:rFonts w:ascii="Arial" w:hAnsi="Arial" w:cs="Arial"/>
          <w:sz w:val="20"/>
          <w:szCs w:val="20"/>
        </w:rPr>
        <w:t>Both categories of stress testing can be based on a range of historical periods of market stress or purely hypothetical future market events.</w:t>
      </w:r>
    </w:p>
    <w:p w14:paraId="54C50A78" w14:textId="77777777" w:rsidR="00E00A20" w:rsidRPr="00EC2955" w:rsidRDefault="00E00A20" w:rsidP="00E00A20">
      <w:pPr>
        <w:spacing w:line="276" w:lineRule="auto"/>
        <w:ind w:left="360"/>
        <w:rPr>
          <w:rFonts w:ascii="Arial" w:eastAsia="Arial" w:hAnsi="Arial" w:cs="Arial"/>
          <w:sz w:val="20"/>
          <w:szCs w:val="20"/>
          <w:lang w:val="en-US" w:eastAsia="en-US"/>
        </w:rPr>
      </w:pPr>
      <w:r w:rsidRPr="00115D93">
        <w:rPr>
          <w:rFonts w:ascii="Arial" w:hAnsi="Arial" w:cs="Arial"/>
          <w:sz w:val="20"/>
          <w:szCs w:val="20"/>
        </w:rPr>
        <w:t>It is the joint responsibility of Market Risk Management, in consultation with the Business, to propose the need for and associated parameters of the BSST, and to review them at least quarterly to ensure that they are relevant, complete, and well documented.</w:t>
      </w:r>
    </w:p>
    <w:p w14:paraId="262F8632" w14:textId="77777777" w:rsidR="00E00A20" w:rsidRPr="00F866F6" w:rsidRDefault="00E00A20" w:rsidP="00E00A20">
      <w:pPr>
        <w:pStyle w:val="ListParagraph"/>
        <w:ind w:left="360"/>
        <w:rPr>
          <w:rFonts w:ascii="Arial" w:hAnsi="Arial" w:cs="Arial"/>
          <w:sz w:val="20"/>
          <w:szCs w:val="20"/>
        </w:rPr>
      </w:pPr>
    </w:p>
    <w:p w14:paraId="083BF586" w14:textId="77777777" w:rsidR="00E00A20" w:rsidRPr="00F866F6" w:rsidRDefault="00E00A20" w:rsidP="007D0EB4">
      <w:pPr>
        <w:pStyle w:val="Heading4"/>
        <w:numPr>
          <w:ilvl w:val="0"/>
          <w:numId w:val="27"/>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Monitoring</w:t>
      </w:r>
    </w:p>
    <w:p w14:paraId="7F46C27C"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Business units are responsible for complying with this LE RMF and for remaining within the approved Trading Market Risk limits, as outlined in the Citi MTM Risk Policy. Businesses are only permitted to take Trading Market Risk exposure where it can be accurately and reliably measured, including at the Citibank Uganda Limited level. A business’s operational capability to provide this exposure to the Independent Market Risk systems (e.g., CitiRisk Market Risk) must be established prior to exceeding $1MM of VaR.</w:t>
      </w:r>
    </w:p>
    <w:p w14:paraId="58A000B6"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The Citi Market Risk Limit Monitoring and Breach Escalation Procedure sets out the processes and steps to be followed by the Market Risk Reporting team and Global Market Risk Management </w:t>
      </w:r>
      <w:proofErr w:type="gramStart"/>
      <w:r w:rsidRPr="00F866F6">
        <w:rPr>
          <w:rFonts w:ascii="Arial" w:hAnsi="Arial" w:cs="Arial"/>
          <w:sz w:val="20"/>
          <w:szCs w:val="20"/>
        </w:rPr>
        <w:t>in order to</w:t>
      </w:r>
      <w:proofErr w:type="gramEnd"/>
      <w:r w:rsidRPr="00F866F6">
        <w:rPr>
          <w:rFonts w:ascii="Arial" w:hAnsi="Arial" w:cs="Arial"/>
          <w:sz w:val="20"/>
          <w:szCs w:val="20"/>
        </w:rPr>
        <w:t xml:space="preserve"> monitor exposures against Trading Market Risk limits and escalate excesses in accordance with the requirements of the Citi MTM Risk Policy.</w:t>
      </w:r>
    </w:p>
    <w:p w14:paraId="0D483517" w14:textId="77777777" w:rsidR="00E00A20" w:rsidRPr="00F866F6" w:rsidRDefault="00E00A20" w:rsidP="00E00A20">
      <w:pPr>
        <w:ind w:left="360"/>
        <w:rPr>
          <w:rFonts w:ascii="Arial" w:hAnsi="Arial" w:cs="Arial"/>
          <w:bCs/>
          <w:sz w:val="20"/>
          <w:szCs w:val="20"/>
        </w:rPr>
      </w:pPr>
      <w:r w:rsidRPr="00F866F6">
        <w:rPr>
          <w:rFonts w:ascii="Arial" w:hAnsi="Arial" w:cs="Arial"/>
          <w:sz w:val="20"/>
          <w:szCs w:val="20"/>
        </w:rPr>
        <w:t xml:space="preserve">Legal entity limit structure may include T0, T1, T2 and T3 limits and relevant triggers. Risk Reporting teams are responsible for monitoring exposures against limits and triggers, including the MTM Trading Desk Tier 3 limits, and reporting breaches to the business and to Independent Market Risk Management. </w:t>
      </w:r>
    </w:p>
    <w:p w14:paraId="26296735" w14:textId="77777777" w:rsidR="00E00A20" w:rsidRPr="00F866F6" w:rsidRDefault="00E00A20" w:rsidP="00E00A20">
      <w:pPr>
        <w:ind w:left="360"/>
        <w:rPr>
          <w:rFonts w:ascii="Arial" w:hAnsi="Arial" w:cs="Arial"/>
          <w:sz w:val="20"/>
          <w:szCs w:val="20"/>
        </w:rPr>
      </w:pPr>
    </w:p>
    <w:p w14:paraId="1D692A68" w14:textId="77777777" w:rsidR="00E00A20" w:rsidRPr="00F866F6" w:rsidRDefault="00E00A20" w:rsidP="007D0EB4">
      <w:pPr>
        <w:pStyle w:val="Heading4"/>
        <w:numPr>
          <w:ilvl w:val="0"/>
          <w:numId w:val="27"/>
        </w:numPr>
        <w:ind w:left="1440" w:hanging="1080"/>
        <w:rPr>
          <w:rFonts w:ascii="Arial" w:hAnsi="Arial" w:cs="Arial"/>
          <w:color w:val="auto"/>
        </w:rPr>
      </w:pPr>
      <w:r w:rsidRPr="00F866F6">
        <w:rPr>
          <w:rFonts w:ascii="Arial" w:hAnsi="Arial" w:cs="Arial"/>
          <w:i w:val="0"/>
          <w:color w:val="auto"/>
        </w:rPr>
        <w:t>Risk Control</w:t>
      </w:r>
    </w:p>
    <w:p w14:paraId="668C9C90" w14:textId="77777777" w:rsidR="00E00A20" w:rsidRPr="00F866F6" w:rsidRDefault="00E00A20" w:rsidP="00E00A20">
      <w:pPr>
        <w:ind w:left="360"/>
        <w:rPr>
          <w:rFonts w:ascii="Arial" w:hAnsi="Arial" w:cs="Arial"/>
          <w:strike/>
          <w:sz w:val="20"/>
          <w:szCs w:val="20"/>
        </w:rPr>
      </w:pPr>
      <w:r w:rsidRPr="00F866F6">
        <w:rPr>
          <w:rFonts w:ascii="Arial" w:hAnsi="Arial" w:cs="Arial"/>
          <w:sz w:val="20"/>
          <w:szCs w:val="20"/>
        </w:rPr>
        <w:t>Citi’s Trading Market Risk framework is described in detail in the Citi MTM Risk Policy. Under the MTM Risk Policy, each business is required to establish, with approval from the Independent Market Risk Management function, a Trading Market Risk Limit Framework for identified risk factors, including at the legal entity level for risks booked in Citibank Uganda Limited. The framework clearly defines the approved risk profiles, include permitted product lists (“PPLs”), follow the New Activity Approval process for complex products and remain within the parameters of Citi’s and Citibank Uganda Limited overall Risk Appetite and established limits monitored by Market Risk Management.</w:t>
      </w:r>
    </w:p>
    <w:p w14:paraId="3B5F36C6"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Trading Market Risk limits are intended to prevent excessive exposure to a single risk factor or group of related risk factors, as well as to constrain the general level of risk-taking for a business.</w:t>
      </w:r>
    </w:p>
    <w:p w14:paraId="4EC52A70"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Limits can be set at multiple levels in the organisational hierarchy including at the legal entity level. For Citibank Uganda Limited, each limit has a designated Business Sponsor. The granularity of the limit framework depends on the level of risk being construed. </w:t>
      </w:r>
    </w:p>
    <w:p w14:paraId="7CF9E2BA" w14:textId="77777777" w:rsidR="00E00A20" w:rsidRPr="00F866F6" w:rsidRDefault="00E00A20" w:rsidP="00E00A20">
      <w:pPr>
        <w:ind w:left="360"/>
        <w:rPr>
          <w:rFonts w:ascii="Arial" w:hAnsi="Arial" w:cs="Arial"/>
          <w:sz w:val="20"/>
          <w:szCs w:val="20"/>
        </w:rPr>
      </w:pPr>
      <w:r w:rsidRPr="00F866F6">
        <w:rPr>
          <w:rFonts w:ascii="Arial" w:hAnsi="Arial" w:cs="Arial"/>
          <w:sz w:val="20"/>
          <w:szCs w:val="20"/>
          <w:lang w:val="en-US" w:eastAsia="en-US"/>
        </w:rPr>
        <w:t>Citibank Uganda Limited 's Trading Market Risk Limits and Management Triggers are reviewed on an annual basis with focus on risk appetite ratio adequacy and a re-assessment of limit cover. Citi Bank Uganda’s scope for quarterly limit reviews focusing on historical utilisations and cumulative changes in risk metrics due to model inputs/assumptions changes described in the Market Risk Procedure for Setting and Reviewing of Limits, Triggers and Thresholds.</w:t>
      </w:r>
    </w:p>
    <w:p w14:paraId="197BE3D2" w14:textId="77777777" w:rsidR="00E00A20" w:rsidRPr="00F866F6" w:rsidRDefault="00E00A20" w:rsidP="00E00A20">
      <w:pPr>
        <w:ind w:left="360"/>
        <w:rPr>
          <w:rFonts w:ascii="Arial" w:hAnsi="Arial" w:cs="Arial"/>
          <w:sz w:val="20"/>
          <w:szCs w:val="20"/>
        </w:rPr>
      </w:pPr>
    </w:p>
    <w:p w14:paraId="40DFB8A5" w14:textId="77777777" w:rsidR="00E00A20" w:rsidRPr="00F866F6" w:rsidRDefault="00E00A20" w:rsidP="00E00A20">
      <w:pPr>
        <w:ind w:left="360"/>
        <w:rPr>
          <w:rFonts w:ascii="Arial" w:hAnsi="Arial" w:cs="Arial"/>
          <w:sz w:val="20"/>
          <w:szCs w:val="20"/>
        </w:rPr>
      </w:pPr>
    </w:p>
    <w:p w14:paraId="61BB651C" w14:textId="77777777" w:rsidR="00E00A20" w:rsidRPr="00F866F6" w:rsidRDefault="00E00A20" w:rsidP="007D0EB4">
      <w:pPr>
        <w:pStyle w:val="Heading4"/>
        <w:numPr>
          <w:ilvl w:val="0"/>
          <w:numId w:val="27"/>
        </w:numPr>
        <w:ind w:left="1440" w:hanging="1080"/>
        <w:rPr>
          <w:rFonts w:ascii="Arial" w:hAnsi="Arial" w:cs="Arial"/>
          <w:i w:val="0"/>
          <w:iCs w:val="0"/>
          <w:color w:val="auto"/>
        </w:rPr>
      </w:pPr>
      <w:r w:rsidRPr="00F866F6">
        <w:rPr>
          <w:rFonts w:ascii="Arial" w:hAnsi="Arial" w:cs="Arial"/>
          <w:i w:val="0"/>
          <w:iCs w:val="0"/>
          <w:color w:val="auto"/>
        </w:rPr>
        <w:t>Risk Reporting</w:t>
      </w:r>
      <w:bookmarkStart w:id="88" w:name="_Hlk98147166"/>
    </w:p>
    <w:bookmarkEnd w:id="88"/>
    <w:p w14:paraId="6D22D4D6" w14:textId="77777777" w:rsidR="00E00A20" w:rsidRPr="00F866F6" w:rsidRDefault="00E00A20" w:rsidP="00E00A20">
      <w:pPr>
        <w:ind w:firstLine="360"/>
        <w:rPr>
          <w:rFonts w:ascii="Arial" w:hAnsi="Arial" w:cs="Arial"/>
          <w:sz w:val="20"/>
          <w:szCs w:val="20"/>
        </w:rPr>
      </w:pPr>
      <w:r w:rsidRPr="00F866F6">
        <w:rPr>
          <w:rFonts w:ascii="Arial" w:hAnsi="Arial" w:cs="Arial"/>
          <w:bCs/>
          <w:sz w:val="20"/>
          <w:szCs w:val="20"/>
        </w:rPr>
        <w:t xml:space="preserve">All Market risk triggers are reported to ALCO. </w:t>
      </w:r>
      <w:r w:rsidRPr="00F866F6">
        <w:rPr>
          <w:rFonts w:ascii="Arial" w:hAnsi="Arial" w:cs="Arial"/>
          <w:sz w:val="20"/>
          <w:szCs w:val="20"/>
        </w:rPr>
        <w:t xml:space="preserve">Market Risk Reporting Department is responsible for: </w:t>
      </w:r>
    </w:p>
    <w:p w14:paraId="6C4C04A2" w14:textId="77777777" w:rsidR="00E00A20" w:rsidRPr="00F866F6" w:rsidRDefault="00E00A20" w:rsidP="007D0EB4">
      <w:pPr>
        <w:pStyle w:val="ListParagraph"/>
        <w:numPr>
          <w:ilvl w:val="0"/>
          <w:numId w:val="41"/>
        </w:numPr>
        <w:rPr>
          <w:rFonts w:ascii="Arial" w:hAnsi="Arial" w:cs="Arial"/>
          <w:sz w:val="20"/>
          <w:szCs w:val="20"/>
        </w:rPr>
      </w:pPr>
      <w:r w:rsidRPr="00F866F6">
        <w:rPr>
          <w:rFonts w:ascii="Arial" w:hAnsi="Arial" w:cs="Arial"/>
          <w:sz w:val="20"/>
          <w:szCs w:val="20"/>
        </w:rPr>
        <w:t xml:space="preserve">Monitoring Market Risk in relation to limits and reporting limit violations to businesses and Treasury Risk Manager; </w:t>
      </w:r>
    </w:p>
    <w:p w14:paraId="3B5AB476" w14:textId="77777777" w:rsidR="00E00A20" w:rsidRPr="00F866F6" w:rsidRDefault="00E00A20" w:rsidP="007D0EB4">
      <w:pPr>
        <w:pStyle w:val="ListParagraph"/>
        <w:numPr>
          <w:ilvl w:val="0"/>
          <w:numId w:val="41"/>
        </w:numPr>
        <w:rPr>
          <w:rFonts w:ascii="Arial" w:hAnsi="Arial" w:cs="Arial"/>
          <w:sz w:val="20"/>
          <w:szCs w:val="20"/>
        </w:rPr>
      </w:pPr>
      <w:r w:rsidRPr="00F866F6">
        <w:rPr>
          <w:rFonts w:ascii="Arial" w:hAnsi="Arial" w:cs="Arial"/>
          <w:sz w:val="20"/>
          <w:szCs w:val="20"/>
        </w:rPr>
        <w:t>Enhance reporting and capabilities for ongoing risk monitoring;</w:t>
      </w:r>
    </w:p>
    <w:p w14:paraId="21C9E537" w14:textId="77777777" w:rsidR="00E00A20" w:rsidRPr="00F866F6" w:rsidRDefault="00E00A20" w:rsidP="007D0EB4">
      <w:pPr>
        <w:pStyle w:val="ListParagraph"/>
        <w:numPr>
          <w:ilvl w:val="0"/>
          <w:numId w:val="41"/>
        </w:numPr>
        <w:rPr>
          <w:rFonts w:ascii="Arial" w:hAnsi="Arial" w:cs="Arial"/>
          <w:sz w:val="20"/>
          <w:szCs w:val="20"/>
        </w:rPr>
      </w:pPr>
      <w:r w:rsidRPr="00F866F6">
        <w:rPr>
          <w:rFonts w:ascii="Arial" w:hAnsi="Arial" w:cs="Arial"/>
          <w:sz w:val="20"/>
          <w:szCs w:val="20"/>
        </w:rPr>
        <w:t xml:space="preserve">Ensure data quality assessment processes are in place in relation to monitoring limits, triggers and related reporting; </w:t>
      </w:r>
    </w:p>
    <w:p w14:paraId="596B3A5B" w14:textId="77777777" w:rsidR="00E00A20" w:rsidRPr="00F866F6" w:rsidRDefault="00E00A20" w:rsidP="007D0EB4">
      <w:pPr>
        <w:pStyle w:val="ListParagraph"/>
        <w:numPr>
          <w:ilvl w:val="0"/>
          <w:numId w:val="41"/>
        </w:numPr>
        <w:rPr>
          <w:rFonts w:ascii="Arial" w:hAnsi="Arial" w:cs="Arial"/>
          <w:sz w:val="20"/>
          <w:szCs w:val="20"/>
        </w:rPr>
      </w:pPr>
      <w:r w:rsidRPr="00F866F6">
        <w:rPr>
          <w:rFonts w:ascii="Arial" w:hAnsi="Arial" w:cs="Arial"/>
          <w:sz w:val="20"/>
          <w:szCs w:val="20"/>
        </w:rPr>
        <w:t xml:space="preserve">Provide risk reporting and limit monitoring content for Senior management reports; </w:t>
      </w:r>
    </w:p>
    <w:p w14:paraId="01AAAAED" w14:textId="77777777" w:rsidR="00E00A20" w:rsidRPr="00F866F6" w:rsidRDefault="00E00A20" w:rsidP="007D0EB4">
      <w:pPr>
        <w:pStyle w:val="ListParagraph"/>
        <w:numPr>
          <w:ilvl w:val="0"/>
          <w:numId w:val="41"/>
        </w:numPr>
        <w:rPr>
          <w:rFonts w:ascii="Arial" w:hAnsi="Arial" w:cs="Arial"/>
          <w:bCs/>
          <w:sz w:val="20"/>
          <w:szCs w:val="20"/>
        </w:rPr>
      </w:pPr>
      <w:r w:rsidRPr="00F866F6">
        <w:rPr>
          <w:rFonts w:ascii="Arial" w:hAnsi="Arial" w:cs="Arial"/>
          <w:sz w:val="20"/>
          <w:szCs w:val="20"/>
        </w:rPr>
        <w:t>Escalate Limit Excesses to the respective management.</w:t>
      </w:r>
    </w:p>
    <w:p w14:paraId="0B6BEEDD" w14:textId="77777777" w:rsidR="00E00A20" w:rsidRPr="00F866F6" w:rsidRDefault="00E00A20" w:rsidP="00E00A20">
      <w:pPr>
        <w:ind w:left="360"/>
        <w:rPr>
          <w:rFonts w:ascii="Arial" w:hAnsi="Arial" w:cs="Arial"/>
          <w:sz w:val="20"/>
          <w:szCs w:val="20"/>
          <w:u w:val="single"/>
        </w:rPr>
      </w:pPr>
    </w:p>
    <w:p w14:paraId="46B74092" w14:textId="77777777" w:rsidR="00E00A20" w:rsidRPr="00F866F6" w:rsidRDefault="00E00A20" w:rsidP="007D0EB4">
      <w:pPr>
        <w:pStyle w:val="Heading3"/>
        <w:numPr>
          <w:ilvl w:val="2"/>
          <w:numId w:val="22"/>
        </w:numPr>
        <w:ind w:hanging="720"/>
        <w:rPr>
          <w:rFonts w:ascii="Arial" w:hAnsi="Arial" w:cs="Arial"/>
          <w:color w:val="auto"/>
        </w:rPr>
      </w:pPr>
      <w:bookmarkStart w:id="89" w:name="_Toc130808487"/>
      <w:bookmarkStart w:id="90" w:name="_Toc135136719"/>
      <w:r w:rsidRPr="00F866F6">
        <w:rPr>
          <w:rFonts w:ascii="Arial" w:hAnsi="Arial" w:cs="Arial"/>
          <w:color w:val="auto"/>
        </w:rPr>
        <w:t>Risk Lifecycle of Non-Trading Market Risk</w:t>
      </w:r>
      <w:bookmarkEnd w:id="89"/>
      <w:bookmarkEnd w:id="90"/>
      <w:r w:rsidRPr="00F866F6">
        <w:rPr>
          <w:rFonts w:ascii="Arial" w:hAnsi="Arial" w:cs="Arial"/>
          <w:color w:val="auto"/>
        </w:rPr>
        <w:t xml:space="preserve"> </w:t>
      </w:r>
    </w:p>
    <w:p w14:paraId="7F34F8EB" w14:textId="77777777" w:rsidR="00E00A20" w:rsidRPr="00F866F6" w:rsidRDefault="00E00A20" w:rsidP="00E00A20">
      <w:pPr>
        <w:rPr>
          <w:rFonts w:ascii="Arial" w:hAnsi="Arial" w:cs="Arial"/>
          <w:sz w:val="20"/>
          <w:szCs w:val="20"/>
        </w:rPr>
      </w:pPr>
      <w:r w:rsidRPr="00F866F6">
        <w:rPr>
          <w:rFonts w:ascii="Arial" w:hAnsi="Arial" w:cs="Arial"/>
          <w:sz w:val="20"/>
          <w:szCs w:val="20"/>
        </w:rPr>
        <w:t>Non-Trading Market Risk is managed via a Risk-Taking Unit (“RTU”) structure as defined by Treasury, reviewed and recommended by Non-Trading Market Risk Management (“NTMR”), and approved by the Interest Rate Risk Committee (“IRRC”).</w:t>
      </w:r>
    </w:p>
    <w:p w14:paraId="2E3E42C3" w14:textId="77777777" w:rsidR="00E00A20" w:rsidRPr="00F866F6" w:rsidRDefault="00E00A20" w:rsidP="00E00A20">
      <w:pPr>
        <w:rPr>
          <w:rFonts w:ascii="Arial" w:hAnsi="Arial" w:cs="Arial"/>
          <w:sz w:val="20"/>
          <w:szCs w:val="20"/>
        </w:rPr>
      </w:pPr>
      <w:r w:rsidRPr="00F866F6">
        <w:rPr>
          <w:rFonts w:ascii="Arial" w:hAnsi="Arial" w:cs="Arial"/>
          <w:sz w:val="20"/>
          <w:szCs w:val="20"/>
        </w:rPr>
        <w:t>An RTU is any operating unit, or aggregation of operating units, that manages banking book activities as defined in the Non-Trading Market Risk Policy and generates Non-Trading Market Risk. An RTU must be defined to satisfy regulatory requirements, internal management purposes, and Legal Entity requirements</w:t>
      </w:r>
      <w:r w:rsidRPr="00F866F6" w:rsidDel="005152CB">
        <w:rPr>
          <w:rFonts w:ascii="Arial" w:hAnsi="Arial" w:cs="Arial"/>
          <w:sz w:val="20"/>
          <w:szCs w:val="20"/>
        </w:rPr>
        <w:t xml:space="preserve"> and</w:t>
      </w:r>
      <w:r w:rsidRPr="00F866F6" w:rsidDel="005152CB">
        <w:t xml:space="preserve"> </w:t>
      </w:r>
      <w:r w:rsidRPr="00F866F6" w:rsidDel="005152CB">
        <w:rPr>
          <w:rFonts w:ascii="Arial" w:hAnsi="Arial" w:cs="Arial"/>
          <w:sz w:val="20"/>
          <w:szCs w:val="20"/>
        </w:rPr>
        <w:t xml:space="preserve">must be aligned to </w:t>
      </w:r>
      <w:r w:rsidRPr="00F866F6">
        <w:rPr>
          <w:rFonts w:ascii="Arial" w:hAnsi="Arial" w:cs="Arial"/>
          <w:sz w:val="20"/>
          <w:szCs w:val="20"/>
        </w:rPr>
        <w:t xml:space="preserve">the </w:t>
      </w:r>
      <w:r w:rsidRPr="00F866F6" w:rsidDel="005152CB">
        <w:rPr>
          <w:rFonts w:ascii="Arial" w:hAnsi="Arial" w:cs="Arial"/>
          <w:sz w:val="20"/>
          <w:szCs w:val="20"/>
        </w:rPr>
        <w:t>standard</w:t>
      </w:r>
      <w:r w:rsidRPr="00F866F6">
        <w:rPr>
          <w:rFonts w:ascii="Arial" w:hAnsi="Arial" w:cs="Arial"/>
          <w:sz w:val="20"/>
          <w:szCs w:val="20"/>
        </w:rPr>
        <w:t xml:space="preserve"> Citi</w:t>
      </w:r>
      <w:r w:rsidRPr="00F866F6" w:rsidDel="005152CB">
        <w:rPr>
          <w:rFonts w:ascii="Arial" w:hAnsi="Arial" w:cs="Arial"/>
          <w:sz w:val="20"/>
          <w:szCs w:val="20"/>
        </w:rPr>
        <w:t xml:space="preserve"> Finance hierarchies</w:t>
      </w:r>
      <w:r w:rsidRPr="00F866F6">
        <w:rPr>
          <w:rFonts w:ascii="Arial" w:hAnsi="Arial" w:cs="Arial"/>
          <w:sz w:val="20"/>
          <w:szCs w:val="20"/>
        </w:rPr>
        <w:t xml:space="preserve">. It is the responsibility of Citibank Uganda Treasury, the Citibank Uganda Risk Manager, and where applicable, the Citibank Uganda ALCO, to ensure that Citibank Uganda is captured in an RTU. </w:t>
      </w:r>
    </w:p>
    <w:p w14:paraId="25940231" w14:textId="77777777" w:rsidR="00E00A20" w:rsidRPr="00F866F6" w:rsidRDefault="00E00A20" w:rsidP="00E00A20">
      <w:pPr>
        <w:rPr>
          <w:rFonts w:ascii="Arial" w:hAnsi="Arial" w:cs="Arial"/>
          <w:sz w:val="20"/>
          <w:szCs w:val="20"/>
        </w:rPr>
      </w:pPr>
      <w:r w:rsidRPr="00F866F6">
        <w:rPr>
          <w:rFonts w:ascii="Arial" w:hAnsi="Arial" w:cs="Arial"/>
          <w:sz w:val="20"/>
          <w:szCs w:val="20"/>
        </w:rPr>
        <w:t>Individual entities may be legal entity RTUs or aggregated into RTUs based on considerations of materiality, governance or internal management as defined in the Non-Trading Market Risk Policy which sets forth the minimum requirements for identifying, measuring, monitoring, controlling, and reporting non-trading market risk.</w:t>
      </w:r>
    </w:p>
    <w:p w14:paraId="3A24D2FD" w14:textId="77777777" w:rsidR="00E00A20" w:rsidRPr="00F866F6" w:rsidRDefault="00E00A20" w:rsidP="00E00A20"/>
    <w:p w14:paraId="31BF0ECD" w14:textId="77777777" w:rsidR="00E00A20" w:rsidRPr="00F866F6" w:rsidRDefault="00E00A20" w:rsidP="007D0EB4">
      <w:pPr>
        <w:pStyle w:val="Heading4"/>
        <w:numPr>
          <w:ilvl w:val="0"/>
          <w:numId w:val="28"/>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Identification</w:t>
      </w:r>
    </w:p>
    <w:p w14:paraId="09A78E9D" w14:textId="77777777" w:rsidR="00E00A20" w:rsidRPr="00F866F6" w:rsidRDefault="00E00A20" w:rsidP="00E00A20">
      <w:pPr>
        <w:ind w:left="360"/>
        <w:rPr>
          <w:rFonts w:ascii="Arial" w:hAnsi="Arial" w:cs="Arial"/>
          <w:sz w:val="20"/>
          <w:szCs w:val="20"/>
        </w:rPr>
      </w:pPr>
      <w:bookmarkStart w:id="91" w:name="_Toc106873373"/>
      <w:bookmarkStart w:id="92" w:name="_Toc107320047"/>
      <w:bookmarkStart w:id="93" w:name="_Toc107321090"/>
      <w:bookmarkStart w:id="94" w:name="_Toc106873374"/>
      <w:bookmarkStart w:id="95" w:name="_Toc107320048"/>
      <w:bookmarkStart w:id="96" w:name="_Toc107321091"/>
      <w:bookmarkEnd w:id="91"/>
      <w:bookmarkEnd w:id="92"/>
      <w:bookmarkEnd w:id="93"/>
      <w:bookmarkEnd w:id="94"/>
      <w:bookmarkEnd w:id="95"/>
      <w:bookmarkEnd w:id="96"/>
      <w:r w:rsidRPr="00F866F6">
        <w:rPr>
          <w:rFonts w:ascii="Arial" w:hAnsi="Arial" w:cs="Arial"/>
          <w:sz w:val="20"/>
          <w:szCs w:val="20"/>
        </w:rPr>
        <w:t>The Market Risk (Non-Trading) (or “Non-Trading Market Risk”) Risk Identification process</w:t>
      </w:r>
      <w:r w:rsidRPr="00F866F6">
        <w:rPr>
          <w:rFonts w:ascii="Arial" w:hAnsi="Arial" w:cs="Arial"/>
          <w:spacing w:val="-4"/>
          <w:sz w:val="20"/>
          <w:szCs w:val="20"/>
        </w:rPr>
        <w:t xml:space="preserve"> </w:t>
      </w:r>
      <w:r w:rsidRPr="00F866F6">
        <w:rPr>
          <w:rFonts w:ascii="Arial" w:hAnsi="Arial" w:cs="Arial"/>
          <w:sz w:val="20"/>
          <w:szCs w:val="20"/>
        </w:rPr>
        <w:t>is</w:t>
      </w:r>
      <w:r w:rsidRPr="00F866F6">
        <w:rPr>
          <w:rFonts w:ascii="Arial" w:hAnsi="Arial" w:cs="Arial"/>
          <w:spacing w:val="-4"/>
          <w:sz w:val="20"/>
          <w:szCs w:val="20"/>
        </w:rPr>
        <w:t xml:space="preserve"> </w:t>
      </w:r>
      <w:r w:rsidRPr="00F866F6">
        <w:rPr>
          <w:rFonts w:ascii="Arial" w:hAnsi="Arial" w:cs="Arial"/>
          <w:sz w:val="20"/>
          <w:szCs w:val="20"/>
        </w:rPr>
        <w:t>a</w:t>
      </w:r>
      <w:r w:rsidRPr="00F866F6">
        <w:rPr>
          <w:rFonts w:ascii="Arial" w:hAnsi="Arial" w:cs="Arial"/>
          <w:spacing w:val="-2"/>
          <w:sz w:val="20"/>
          <w:szCs w:val="20"/>
        </w:rPr>
        <w:t xml:space="preserve"> </w:t>
      </w:r>
      <w:r w:rsidRPr="00F866F6">
        <w:rPr>
          <w:rFonts w:ascii="Arial" w:hAnsi="Arial" w:cs="Arial"/>
          <w:sz w:val="20"/>
          <w:szCs w:val="20"/>
        </w:rPr>
        <w:t>centralised</w:t>
      </w:r>
      <w:r w:rsidRPr="00F866F6">
        <w:rPr>
          <w:rFonts w:ascii="Arial" w:hAnsi="Arial" w:cs="Arial"/>
          <w:spacing w:val="-2"/>
          <w:sz w:val="20"/>
          <w:szCs w:val="20"/>
        </w:rPr>
        <w:t xml:space="preserve"> </w:t>
      </w:r>
      <w:r w:rsidRPr="00F866F6">
        <w:rPr>
          <w:rFonts w:ascii="Arial" w:hAnsi="Arial" w:cs="Arial"/>
          <w:sz w:val="20"/>
          <w:szCs w:val="20"/>
        </w:rPr>
        <w:t>process</w:t>
      </w:r>
      <w:r w:rsidRPr="00F866F6">
        <w:rPr>
          <w:rFonts w:ascii="Arial" w:hAnsi="Arial" w:cs="Arial"/>
          <w:spacing w:val="-4"/>
          <w:sz w:val="20"/>
          <w:szCs w:val="20"/>
        </w:rPr>
        <w:t xml:space="preserve"> </w:t>
      </w:r>
      <w:r w:rsidRPr="00F866F6">
        <w:rPr>
          <w:rFonts w:ascii="Arial" w:hAnsi="Arial" w:cs="Arial"/>
          <w:sz w:val="20"/>
          <w:szCs w:val="20"/>
        </w:rPr>
        <w:t>that applies</w:t>
      </w:r>
      <w:r w:rsidRPr="00F866F6">
        <w:rPr>
          <w:rFonts w:ascii="Arial" w:hAnsi="Arial" w:cs="Arial"/>
          <w:spacing w:val="-4"/>
          <w:sz w:val="20"/>
          <w:szCs w:val="20"/>
        </w:rPr>
        <w:t xml:space="preserve"> </w:t>
      </w:r>
      <w:r w:rsidRPr="00F866F6">
        <w:rPr>
          <w:rFonts w:ascii="Arial" w:hAnsi="Arial" w:cs="Arial"/>
          <w:sz w:val="20"/>
          <w:szCs w:val="20"/>
        </w:rPr>
        <w:t>Citigroup</w:t>
      </w:r>
      <w:r w:rsidRPr="00F866F6">
        <w:rPr>
          <w:rFonts w:ascii="Arial" w:hAnsi="Arial" w:cs="Arial"/>
          <w:spacing w:val="-3"/>
          <w:sz w:val="20"/>
          <w:szCs w:val="20"/>
        </w:rPr>
        <w:t xml:space="preserve"> </w:t>
      </w:r>
      <w:r w:rsidRPr="00F866F6">
        <w:rPr>
          <w:rFonts w:ascii="Arial" w:hAnsi="Arial" w:cs="Arial"/>
          <w:sz w:val="20"/>
          <w:szCs w:val="20"/>
        </w:rPr>
        <w:t>wide</w:t>
      </w:r>
      <w:r w:rsidRPr="00F866F6">
        <w:rPr>
          <w:rFonts w:ascii="Arial" w:hAnsi="Arial" w:cs="Arial"/>
          <w:spacing w:val="-2"/>
          <w:sz w:val="20"/>
          <w:szCs w:val="20"/>
        </w:rPr>
        <w:t xml:space="preserve"> </w:t>
      </w:r>
      <w:r w:rsidRPr="00F866F6">
        <w:rPr>
          <w:rFonts w:ascii="Arial" w:hAnsi="Arial" w:cs="Arial"/>
          <w:sz w:val="20"/>
          <w:szCs w:val="20"/>
        </w:rPr>
        <w:t>and</w:t>
      </w:r>
      <w:r w:rsidRPr="00F866F6">
        <w:rPr>
          <w:rFonts w:ascii="Arial" w:hAnsi="Arial" w:cs="Arial"/>
          <w:spacing w:val="-4"/>
          <w:sz w:val="20"/>
          <w:szCs w:val="20"/>
        </w:rPr>
        <w:t xml:space="preserve"> </w:t>
      </w:r>
      <w:r w:rsidRPr="00F866F6">
        <w:rPr>
          <w:rFonts w:ascii="Arial" w:hAnsi="Arial" w:cs="Arial"/>
          <w:sz w:val="20"/>
          <w:szCs w:val="20"/>
        </w:rPr>
        <w:t>is</w:t>
      </w:r>
      <w:r w:rsidRPr="00F866F6">
        <w:rPr>
          <w:rFonts w:ascii="Arial" w:hAnsi="Arial" w:cs="Arial"/>
          <w:spacing w:val="-4"/>
          <w:sz w:val="20"/>
          <w:szCs w:val="20"/>
        </w:rPr>
        <w:t xml:space="preserve"> </w:t>
      </w:r>
      <w:r w:rsidRPr="00F866F6">
        <w:rPr>
          <w:rFonts w:ascii="Arial" w:hAnsi="Arial" w:cs="Arial"/>
          <w:sz w:val="20"/>
          <w:szCs w:val="20"/>
        </w:rPr>
        <w:t>conducted</w:t>
      </w:r>
      <w:r w:rsidRPr="00F866F6">
        <w:rPr>
          <w:rFonts w:ascii="Arial" w:hAnsi="Arial" w:cs="Arial"/>
          <w:spacing w:val="-2"/>
          <w:sz w:val="20"/>
          <w:szCs w:val="20"/>
        </w:rPr>
        <w:t xml:space="preserve"> </w:t>
      </w:r>
      <w:r w:rsidRPr="00F866F6">
        <w:rPr>
          <w:rFonts w:ascii="Arial" w:hAnsi="Arial" w:cs="Arial"/>
          <w:sz w:val="20"/>
          <w:szCs w:val="20"/>
        </w:rPr>
        <w:t>in-line with the development and maintenance of the Non-Trading Market Risk framework.  The Non-Trading Market Risk Identification process is centred around the Material Risk Inventory (“MRI”), which drives the Non-Trading Market risk taxonomy, and KRIs:</w:t>
      </w:r>
    </w:p>
    <w:p w14:paraId="7C16E317" w14:textId="77777777" w:rsidR="00E00A20" w:rsidRPr="00F866F6" w:rsidRDefault="00E00A20" w:rsidP="00E00A20">
      <w:pPr>
        <w:pStyle w:val="Bullet"/>
        <w:ind w:left="990"/>
        <w:jc w:val="both"/>
        <w:rPr>
          <w:i/>
          <w:sz w:val="20"/>
          <w:szCs w:val="20"/>
        </w:rPr>
      </w:pPr>
      <w:r w:rsidRPr="00F866F6">
        <w:rPr>
          <w:sz w:val="20"/>
          <w:szCs w:val="20"/>
        </w:rPr>
        <w:t>The Non-Trading Market Risk MRI documents the Top, Material, Emerging, Idiosyncratic, and Growing Non-Trading Market Risks faced by the firm and drives the Non-Trading Market Risk taxonomy.</w:t>
      </w:r>
    </w:p>
    <w:p w14:paraId="1512E331" w14:textId="77777777" w:rsidR="00E00A20" w:rsidRPr="00F866F6" w:rsidRDefault="00E00A20" w:rsidP="00E00A20">
      <w:pPr>
        <w:pStyle w:val="Bullet"/>
        <w:ind w:left="990"/>
        <w:jc w:val="both"/>
        <w:rPr>
          <w:sz w:val="20"/>
          <w:szCs w:val="20"/>
        </w:rPr>
      </w:pPr>
      <w:r w:rsidRPr="00F866F6">
        <w:rPr>
          <w:sz w:val="20"/>
          <w:szCs w:val="20"/>
        </w:rPr>
        <w:t>The Non-Trading Market Risk MRI at the Citigroup and CBNA levels is derived from</w:t>
      </w:r>
      <w:r w:rsidRPr="00F866F6">
        <w:rPr>
          <w:spacing w:val="-3"/>
          <w:sz w:val="20"/>
          <w:szCs w:val="20"/>
        </w:rPr>
        <w:t xml:space="preserve"> </w:t>
      </w:r>
      <w:r w:rsidRPr="00F866F6">
        <w:rPr>
          <w:sz w:val="20"/>
          <w:szCs w:val="20"/>
        </w:rPr>
        <w:t>the</w:t>
      </w:r>
      <w:r w:rsidRPr="00F866F6">
        <w:rPr>
          <w:spacing w:val="-4"/>
          <w:sz w:val="20"/>
          <w:szCs w:val="20"/>
        </w:rPr>
        <w:t xml:space="preserve"> </w:t>
      </w:r>
      <w:r w:rsidRPr="00F866F6">
        <w:rPr>
          <w:sz w:val="20"/>
          <w:szCs w:val="20"/>
        </w:rPr>
        <w:t>MRIs</w:t>
      </w:r>
      <w:r w:rsidRPr="00F866F6">
        <w:rPr>
          <w:spacing w:val="-4"/>
          <w:sz w:val="20"/>
          <w:szCs w:val="20"/>
        </w:rPr>
        <w:t xml:space="preserve"> </w:t>
      </w:r>
      <w:r w:rsidRPr="00F866F6">
        <w:rPr>
          <w:sz w:val="20"/>
          <w:szCs w:val="20"/>
        </w:rPr>
        <w:t>of</w:t>
      </w:r>
      <w:r w:rsidRPr="00F866F6">
        <w:rPr>
          <w:spacing w:val="-4"/>
          <w:sz w:val="20"/>
          <w:szCs w:val="20"/>
        </w:rPr>
        <w:t xml:space="preserve"> </w:t>
      </w:r>
      <w:r w:rsidRPr="00F866F6">
        <w:rPr>
          <w:sz w:val="20"/>
          <w:szCs w:val="20"/>
        </w:rPr>
        <w:t>Major</w:t>
      </w:r>
      <w:r w:rsidRPr="00F866F6">
        <w:rPr>
          <w:spacing w:val="-1"/>
          <w:sz w:val="20"/>
          <w:szCs w:val="20"/>
        </w:rPr>
        <w:t xml:space="preserve"> </w:t>
      </w:r>
      <w:r w:rsidRPr="00F866F6">
        <w:rPr>
          <w:sz w:val="20"/>
          <w:szCs w:val="20"/>
        </w:rPr>
        <w:t>Business</w:t>
      </w:r>
      <w:r w:rsidRPr="00F866F6">
        <w:rPr>
          <w:spacing w:val="-4"/>
          <w:sz w:val="20"/>
          <w:szCs w:val="20"/>
        </w:rPr>
        <w:t xml:space="preserve"> </w:t>
      </w:r>
      <w:r w:rsidRPr="00F866F6">
        <w:rPr>
          <w:sz w:val="20"/>
          <w:szCs w:val="20"/>
        </w:rPr>
        <w:t>Lines</w:t>
      </w:r>
      <w:r w:rsidRPr="00F866F6">
        <w:rPr>
          <w:spacing w:val="-1"/>
          <w:sz w:val="20"/>
          <w:szCs w:val="20"/>
        </w:rPr>
        <w:t xml:space="preserve"> </w:t>
      </w:r>
      <w:r w:rsidRPr="00F866F6">
        <w:rPr>
          <w:sz w:val="20"/>
          <w:szCs w:val="20"/>
        </w:rPr>
        <w:t>and</w:t>
      </w:r>
      <w:r w:rsidRPr="00F866F6">
        <w:rPr>
          <w:spacing w:val="-4"/>
          <w:sz w:val="20"/>
          <w:szCs w:val="20"/>
        </w:rPr>
        <w:t xml:space="preserve"> </w:t>
      </w:r>
      <w:r w:rsidRPr="00F866F6">
        <w:rPr>
          <w:sz w:val="20"/>
          <w:szCs w:val="20"/>
        </w:rPr>
        <w:t>underlying Business</w:t>
      </w:r>
      <w:r w:rsidRPr="00F866F6">
        <w:rPr>
          <w:spacing w:val="-1"/>
          <w:sz w:val="20"/>
          <w:szCs w:val="20"/>
        </w:rPr>
        <w:t xml:space="preserve"> </w:t>
      </w:r>
      <w:r w:rsidRPr="00F866F6">
        <w:rPr>
          <w:sz w:val="20"/>
          <w:szCs w:val="20"/>
        </w:rPr>
        <w:t>Segments,</w:t>
      </w:r>
      <w:r w:rsidRPr="00F866F6">
        <w:rPr>
          <w:spacing w:val="-3"/>
          <w:sz w:val="20"/>
          <w:szCs w:val="20"/>
        </w:rPr>
        <w:t xml:space="preserve"> </w:t>
      </w:r>
      <w:r w:rsidRPr="00F866F6">
        <w:rPr>
          <w:sz w:val="20"/>
          <w:szCs w:val="20"/>
        </w:rPr>
        <w:t>as</w:t>
      </w:r>
      <w:r w:rsidRPr="00F866F6">
        <w:rPr>
          <w:spacing w:val="-4"/>
          <w:sz w:val="20"/>
          <w:szCs w:val="20"/>
        </w:rPr>
        <w:t xml:space="preserve"> </w:t>
      </w:r>
      <w:r w:rsidRPr="00F866F6">
        <w:rPr>
          <w:sz w:val="20"/>
          <w:szCs w:val="20"/>
        </w:rPr>
        <w:t>applicable.</w:t>
      </w:r>
    </w:p>
    <w:p w14:paraId="10A28FC4" w14:textId="77777777" w:rsidR="00E00A20" w:rsidRPr="00F866F6" w:rsidRDefault="00E00A20" w:rsidP="00E00A20">
      <w:pPr>
        <w:pStyle w:val="Bullet"/>
        <w:ind w:left="990"/>
        <w:jc w:val="both"/>
        <w:rPr>
          <w:sz w:val="20"/>
          <w:szCs w:val="20"/>
        </w:rPr>
      </w:pPr>
      <w:r w:rsidRPr="00F866F6">
        <w:rPr>
          <w:spacing w:val="-1"/>
          <w:sz w:val="20"/>
          <w:szCs w:val="20"/>
        </w:rPr>
        <w:t>KRIs</w:t>
      </w:r>
      <w:r w:rsidRPr="00F866F6">
        <w:rPr>
          <w:sz w:val="20"/>
          <w:szCs w:val="20"/>
        </w:rPr>
        <w:t xml:space="preserve"> (i.e., Interest Rate Exposure (“IRE”), Economic Value Sensitivity (“EVS”), and Other Comprehensive Income (“OCI”) Capital at Risk) align to the Non-Trading Market Risk taxonomy and used to help identify, measure, and/or monitor the Non-Trading Market Risk MRI.</w:t>
      </w:r>
    </w:p>
    <w:p w14:paraId="47721830" w14:textId="77777777" w:rsidR="00E00A20" w:rsidRPr="00F866F6" w:rsidRDefault="00E00A20" w:rsidP="00E00A20">
      <w:pPr>
        <w:rPr>
          <w:rFonts w:ascii="Arial" w:hAnsi="Arial" w:cs="Arial"/>
          <w:sz w:val="20"/>
          <w:szCs w:val="20"/>
        </w:rPr>
      </w:pPr>
    </w:p>
    <w:p w14:paraId="7F16B5F0" w14:textId="77777777" w:rsidR="00E00A20" w:rsidRPr="00F866F6" w:rsidRDefault="00E00A20" w:rsidP="007D0EB4">
      <w:pPr>
        <w:pStyle w:val="Heading4"/>
        <w:numPr>
          <w:ilvl w:val="0"/>
          <w:numId w:val="28"/>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Measurement</w:t>
      </w:r>
    </w:p>
    <w:p w14:paraId="254EA37D"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As defined in the Non-Trading Market Risk Policy, the key metrics for managing Non-Trading Market Risk </w:t>
      </w:r>
      <w:bookmarkStart w:id="97" w:name="_Hlk170216781"/>
      <w:r w:rsidRPr="00F866F6">
        <w:rPr>
          <w:rFonts w:ascii="Arial" w:hAnsi="Arial" w:cs="Arial"/>
          <w:sz w:val="20"/>
          <w:szCs w:val="20"/>
        </w:rPr>
        <w:t xml:space="preserve">are risk factor sensitivities, stress testing metrics, IRE, Economic Value of Equity (“EVE”)/EVS, and OCI Capital at Risk measures. The metrics include consideration of repricing risk, curve risk, basis risk, options risk, and risk in each currency, or foreign exchange (“FX”). </w:t>
      </w:r>
    </w:p>
    <w:p w14:paraId="54E2AA15"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Non-Trading Market Risk stress results are generated via models that translate stress test scenario inputs into stress losses or other metrics, such as income (e.g., IRE) and valuation (e.g., EVE, EVS, OCI) metrics.</w:t>
      </w:r>
      <w:r w:rsidRPr="00F866F6">
        <w:rPr>
          <w:rFonts w:ascii="Arial" w:hAnsi="Arial" w:cs="Arial"/>
          <w:spacing w:val="40"/>
          <w:sz w:val="20"/>
          <w:szCs w:val="20"/>
        </w:rPr>
        <w:t xml:space="preserve"> </w:t>
      </w:r>
      <w:r w:rsidRPr="00F866F6">
        <w:rPr>
          <w:rFonts w:ascii="Arial" w:hAnsi="Arial" w:cs="Arial"/>
          <w:sz w:val="20"/>
          <w:szCs w:val="20"/>
        </w:rPr>
        <w:t>Non-Trading</w:t>
      </w:r>
      <w:r w:rsidRPr="00F866F6">
        <w:rPr>
          <w:rFonts w:ascii="Arial" w:hAnsi="Arial" w:cs="Arial"/>
          <w:spacing w:val="-3"/>
          <w:sz w:val="20"/>
          <w:szCs w:val="20"/>
        </w:rPr>
        <w:t xml:space="preserve"> </w:t>
      </w:r>
      <w:r w:rsidRPr="00F866F6">
        <w:rPr>
          <w:rFonts w:ascii="Arial" w:hAnsi="Arial" w:cs="Arial"/>
          <w:sz w:val="20"/>
          <w:szCs w:val="20"/>
        </w:rPr>
        <w:t>Market</w:t>
      </w:r>
      <w:r w:rsidRPr="00F866F6">
        <w:rPr>
          <w:rFonts w:ascii="Arial" w:hAnsi="Arial" w:cs="Arial"/>
          <w:spacing w:val="-1"/>
          <w:sz w:val="20"/>
          <w:szCs w:val="20"/>
        </w:rPr>
        <w:t xml:space="preserve"> </w:t>
      </w:r>
      <w:r w:rsidRPr="00F866F6">
        <w:rPr>
          <w:rFonts w:ascii="Arial" w:hAnsi="Arial" w:cs="Arial"/>
          <w:sz w:val="20"/>
          <w:szCs w:val="20"/>
        </w:rPr>
        <w:t>Risk</w:t>
      </w:r>
      <w:r w:rsidRPr="00F866F6">
        <w:rPr>
          <w:rFonts w:ascii="Arial" w:hAnsi="Arial" w:cs="Arial"/>
          <w:spacing w:val="-5"/>
          <w:sz w:val="20"/>
          <w:szCs w:val="20"/>
        </w:rPr>
        <w:t xml:space="preserve"> </w:t>
      </w:r>
      <w:r w:rsidRPr="00F866F6">
        <w:rPr>
          <w:rFonts w:ascii="Arial" w:hAnsi="Arial" w:cs="Arial"/>
          <w:sz w:val="20"/>
          <w:szCs w:val="20"/>
        </w:rPr>
        <w:t>stress</w:t>
      </w:r>
      <w:r w:rsidRPr="00F866F6">
        <w:rPr>
          <w:rFonts w:ascii="Arial" w:hAnsi="Arial" w:cs="Arial"/>
          <w:spacing w:val="-2"/>
          <w:sz w:val="20"/>
          <w:szCs w:val="20"/>
        </w:rPr>
        <w:t xml:space="preserve"> </w:t>
      </w:r>
      <w:r w:rsidRPr="00F866F6">
        <w:rPr>
          <w:rFonts w:ascii="Arial" w:hAnsi="Arial" w:cs="Arial"/>
          <w:sz w:val="20"/>
          <w:szCs w:val="20"/>
        </w:rPr>
        <w:t>testing</w:t>
      </w:r>
      <w:r w:rsidRPr="00F866F6">
        <w:rPr>
          <w:rFonts w:ascii="Arial" w:hAnsi="Arial" w:cs="Arial"/>
          <w:spacing w:val="-5"/>
          <w:sz w:val="20"/>
          <w:szCs w:val="20"/>
        </w:rPr>
        <w:t xml:space="preserve"> </w:t>
      </w:r>
      <w:r w:rsidRPr="00F866F6">
        <w:rPr>
          <w:rFonts w:ascii="Arial" w:hAnsi="Arial" w:cs="Arial"/>
          <w:sz w:val="20"/>
          <w:szCs w:val="20"/>
        </w:rPr>
        <w:t>results</w:t>
      </w:r>
      <w:r w:rsidRPr="00F866F6">
        <w:rPr>
          <w:rFonts w:ascii="Arial" w:hAnsi="Arial" w:cs="Arial"/>
          <w:spacing w:val="-5"/>
          <w:sz w:val="20"/>
          <w:szCs w:val="20"/>
        </w:rPr>
        <w:t xml:space="preserve"> </w:t>
      </w:r>
      <w:r w:rsidRPr="00F866F6">
        <w:rPr>
          <w:rFonts w:ascii="Arial" w:hAnsi="Arial" w:cs="Arial"/>
          <w:sz w:val="20"/>
          <w:szCs w:val="20"/>
        </w:rPr>
        <w:t>are used to manage and review Non-Trading Market Risk limits in alignment with the Non-Trading Market Risk appetite.</w:t>
      </w:r>
    </w:p>
    <w:bookmarkEnd w:id="97"/>
    <w:p w14:paraId="16A3BFE6" w14:textId="77777777" w:rsidR="00E00A20" w:rsidRPr="00F866F6" w:rsidRDefault="00E00A20" w:rsidP="00E00A20">
      <w:pPr>
        <w:rPr>
          <w:rFonts w:ascii="Arial" w:hAnsi="Arial" w:cs="Arial"/>
          <w:sz w:val="20"/>
          <w:szCs w:val="20"/>
        </w:rPr>
      </w:pPr>
    </w:p>
    <w:p w14:paraId="23058CFC" w14:textId="77777777" w:rsidR="00E00A20" w:rsidRPr="00F866F6" w:rsidRDefault="00E00A20" w:rsidP="007D0EB4">
      <w:pPr>
        <w:pStyle w:val="Heading4"/>
        <w:numPr>
          <w:ilvl w:val="0"/>
          <w:numId w:val="28"/>
        </w:numPr>
        <w:ind w:left="1440" w:hanging="1080"/>
        <w:rPr>
          <w:rFonts w:ascii="Arial" w:hAnsi="Arial" w:cs="Arial"/>
          <w:i w:val="0"/>
          <w:iCs w:val="0"/>
          <w:color w:val="auto"/>
        </w:rPr>
      </w:pPr>
      <w:r w:rsidRPr="00F866F6">
        <w:rPr>
          <w:rFonts w:ascii="Arial" w:hAnsi="Arial" w:cs="Arial"/>
          <w:i w:val="0"/>
          <w:iCs w:val="0"/>
          <w:color w:val="auto"/>
        </w:rPr>
        <w:t>Risk Monitoring</w:t>
      </w:r>
    </w:p>
    <w:p w14:paraId="26FE5C64"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The Non-Trading Market Risk Policy sets forth the minimum requirements for identifying, measuring, monitoring, controlling, and reporting Non-Trading Market Risk, consistent with Citi’s Risk appetite. It establishes the framework for sound management of Citi’s Non-Trading Market Risk to facilitate transparency, comparability, and aggregation of Non-Trading Market Risk-taking activities.</w:t>
      </w:r>
    </w:p>
    <w:p w14:paraId="072B2EB1"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Dispensations and Waivers to the Policy are requested and approved in exceptional circumstances. Requests are approved and documented in accordance with the requirements set forth in the Citi Policy Governance Standard.</w:t>
      </w:r>
    </w:p>
    <w:p w14:paraId="1EAADEEC" w14:textId="77777777" w:rsidR="00E00A20" w:rsidRPr="00F866F6" w:rsidRDefault="00E00A20" w:rsidP="00E00A20">
      <w:pPr>
        <w:rPr>
          <w:rFonts w:ascii="Arial" w:hAnsi="Arial" w:cs="Arial"/>
          <w:sz w:val="20"/>
          <w:szCs w:val="20"/>
        </w:rPr>
      </w:pPr>
    </w:p>
    <w:p w14:paraId="1C36B411" w14:textId="77777777" w:rsidR="00E00A20" w:rsidRPr="00F866F6" w:rsidRDefault="00E00A20" w:rsidP="007D0EB4">
      <w:pPr>
        <w:pStyle w:val="Heading4"/>
        <w:numPr>
          <w:ilvl w:val="0"/>
          <w:numId w:val="28"/>
        </w:numPr>
        <w:ind w:left="1440" w:hanging="1080"/>
        <w:rPr>
          <w:rFonts w:ascii="Arial" w:hAnsi="Arial" w:cs="Arial"/>
          <w:i w:val="0"/>
          <w:iCs w:val="0"/>
          <w:color w:val="auto"/>
        </w:rPr>
      </w:pPr>
      <w:r w:rsidRPr="00F866F6">
        <w:rPr>
          <w:rFonts w:ascii="Arial" w:hAnsi="Arial" w:cs="Arial"/>
          <w:i w:val="0"/>
          <w:iCs w:val="0"/>
          <w:color w:val="auto"/>
        </w:rPr>
        <w:t>Risk Control</w:t>
      </w:r>
    </w:p>
    <w:p w14:paraId="79A6A9B8"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Non-Trading Market Risk limits/triggers are intended to prevent excessive exposure to changes in interest rates and other risk factors as outlined in the Non-Trading Market Risk Policy. Citibank Uganda via its RTU, implements a limits/triggers framework in line with the requirements of the Non-Trading Market Risk Policy, as deemed appropriate by Treasury and Non-Trading Market Risk Management, Cluster Finance CRO, or Country/Entity Risk Managers, as appropriate. </w:t>
      </w:r>
    </w:p>
    <w:p w14:paraId="09C9E4DE" w14:textId="77777777" w:rsidR="00E00A20" w:rsidRPr="00F866F6" w:rsidRDefault="00E00A20" w:rsidP="00E00A20">
      <w:pPr>
        <w:rPr>
          <w:rFonts w:ascii="Arial" w:hAnsi="Arial" w:cs="Arial"/>
          <w:sz w:val="20"/>
          <w:szCs w:val="20"/>
        </w:rPr>
      </w:pPr>
    </w:p>
    <w:p w14:paraId="215DD737" w14:textId="77777777" w:rsidR="00E00A20" w:rsidRPr="00F866F6" w:rsidRDefault="00E00A20" w:rsidP="007D0EB4">
      <w:pPr>
        <w:pStyle w:val="Heading4"/>
        <w:numPr>
          <w:ilvl w:val="0"/>
          <w:numId w:val="28"/>
        </w:numPr>
        <w:ind w:left="1440" w:hanging="1080"/>
        <w:rPr>
          <w:rFonts w:ascii="Arial" w:hAnsi="Arial" w:cs="Arial"/>
          <w:color w:val="auto"/>
        </w:rPr>
      </w:pPr>
      <w:r w:rsidRPr="00F866F6">
        <w:rPr>
          <w:rFonts w:ascii="Arial" w:hAnsi="Arial" w:cs="Arial"/>
          <w:i w:val="0"/>
          <w:color w:val="auto"/>
        </w:rPr>
        <w:t>Reporting</w:t>
      </w:r>
    </w:p>
    <w:p w14:paraId="28162629"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Non-Trading Market Risk reports provide timely and comprehensive Non-Trading Market Risk information to Treasury, Non-Trading Market Risk Management, Cluster Finance CRO, Country/Entity Risk Managers, where appropriate, and the Board. Key information about existing and potential Non-Trading Market Risk is reported so exposures can be appropriately managed. As required by the Non-Trading Market Risk Policy:</w:t>
      </w:r>
    </w:p>
    <w:p w14:paraId="74C2A9D0" w14:textId="77777777" w:rsidR="00E00A20" w:rsidRPr="00F866F6" w:rsidRDefault="00E00A20" w:rsidP="007D0EB4">
      <w:pPr>
        <w:pStyle w:val="ListParagraph"/>
        <w:numPr>
          <w:ilvl w:val="0"/>
          <w:numId w:val="43"/>
        </w:numPr>
        <w:ind w:left="1080"/>
        <w:rPr>
          <w:rFonts w:ascii="Arial" w:hAnsi="Arial" w:cs="Arial"/>
          <w:sz w:val="20"/>
          <w:szCs w:val="20"/>
        </w:rPr>
      </w:pPr>
      <w:r w:rsidRPr="00F866F6">
        <w:rPr>
          <w:rFonts w:ascii="Arial" w:hAnsi="Arial" w:cs="Arial"/>
          <w:sz w:val="20"/>
          <w:szCs w:val="20"/>
        </w:rPr>
        <w:t>Each Non-Trading Market Risk Management Risk report has an owner who is responsible for ensuring accuracy and timely production of the report.</w:t>
      </w:r>
    </w:p>
    <w:p w14:paraId="6AF9963B" w14:textId="77777777" w:rsidR="00E00A20" w:rsidRPr="00F866F6" w:rsidRDefault="00E00A20" w:rsidP="007D0EB4">
      <w:pPr>
        <w:pStyle w:val="ListParagraph"/>
        <w:numPr>
          <w:ilvl w:val="0"/>
          <w:numId w:val="43"/>
        </w:numPr>
        <w:ind w:left="1080"/>
        <w:rPr>
          <w:rFonts w:ascii="Arial" w:hAnsi="Arial" w:cs="Arial"/>
          <w:sz w:val="20"/>
          <w:szCs w:val="20"/>
        </w:rPr>
      </w:pPr>
      <w:r w:rsidRPr="00F866F6">
        <w:rPr>
          <w:rFonts w:ascii="Arial" w:hAnsi="Arial" w:cs="Arial"/>
          <w:sz w:val="20"/>
          <w:szCs w:val="20"/>
        </w:rPr>
        <w:t xml:space="preserve">Data used in Non-Trading Market Risk reports complies with the Citi Data Governance Policy. </w:t>
      </w:r>
    </w:p>
    <w:p w14:paraId="04055770" w14:textId="77777777" w:rsidR="00E00A20" w:rsidRPr="00F866F6" w:rsidRDefault="00E00A20" w:rsidP="00E00A20">
      <w:pPr>
        <w:pStyle w:val="ListParagraph"/>
        <w:ind w:left="1080"/>
        <w:rPr>
          <w:rFonts w:ascii="Arial" w:hAnsi="Arial" w:cs="Arial"/>
          <w:sz w:val="20"/>
          <w:szCs w:val="20"/>
        </w:rPr>
      </w:pPr>
    </w:p>
    <w:p w14:paraId="5BF81CDB" w14:textId="77777777" w:rsidR="00E00A20" w:rsidRPr="00F866F6" w:rsidRDefault="00E00A20" w:rsidP="00E00A20">
      <w:pPr>
        <w:ind w:left="450"/>
        <w:rPr>
          <w:rFonts w:ascii="Arial" w:hAnsi="Arial" w:cs="Arial"/>
          <w:sz w:val="20"/>
          <w:szCs w:val="20"/>
        </w:rPr>
      </w:pPr>
      <w:r w:rsidRPr="00F866F6">
        <w:rPr>
          <w:rFonts w:ascii="Arial" w:hAnsi="Arial" w:cs="Arial"/>
          <w:sz w:val="20"/>
          <w:szCs w:val="20"/>
        </w:rPr>
        <w:t>Non-Trading Market Risk Management sets the standards for required Non-Trading Market Risk reporting, while the Head of Non-Trading Market Risk Management determines the required level(s) and frequency(</w:t>
      </w:r>
      <w:proofErr w:type="spellStart"/>
      <w:r w:rsidRPr="00F866F6">
        <w:rPr>
          <w:rFonts w:ascii="Arial" w:hAnsi="Arial" w:cs="Arial"/>
          <w:sz w:val="20"/>
          <w:szCs w:val="20"/>
        </w:rPr>
        <w:t>ies</w:t>
      </w:r>
      <w:proofErr w:type="spellEnd"/>
      <w:r w:rsidRPr="00F866F6">
        <w:rPr>
          <w:rFonts w:ascii="Arial" w:hAnsi="Arial" w:cs="Arial"/>
          <w:sz w:val="20"/>
          <w:szCs w:val="20"/>
        </w:rPr>
        <w:t xml:space="preserve">) of reporting for RTUs. </w:t>
      </w:r>
    </w:p>
    <w:p w14:paraId="5877EE1A" w14:textId="77777777" w:rsidR="00E00A20" w:rsidRPr="00F866F6" w:rsidRDefault="00E00A20" w:rsidP="00E00A20">
      <w:pPr>
        <w:rPr>
          <w:rFonts w:ascii="Arial" w:hAnsi="Arial" w:cs="Arial"/>
          <w:sz w:val="20"/>
          <w:szCs w:val="20"/>
        </w:rPr>
      </w:pPr>
    </w:p>
    <w:p w14:paraId="0BF62E8B" w14:textId="77777777" w:rsidR="00E00A20" w:rsidRPr="00F866F6" w:rsidRDefault="00E00A20" w:rsidP="007D0EB4">
      <w:pPr>
        <w:pStyle w:val="Heading3"/>
        <w:numPr>
          <w:ilvl w:val="2"/>
          <w:numId w:val="22"/>
        </w:numPr>
        <w:ind w:hanging="720"/>
        <w:rPr>
          <w:rFonts w:ascii="Arial" w:hAnsi="Arial" w:cs="Arial"/>
          <w:color w:val="auto"/>
        </w:rPr>
      </w:pPr>
      <w:bookmarkStart w:id="98" w:name="_Toc130808488"/>
      <w:bookmarkStart w:id="99" w:name="_Toc135136720"/>
      <w:bookmarkStart w:id="100" w:name="_Toc104362133"/>
      <w:r w:rsidRPr="00F866F6">
        <w:rPr>
          <w:rFonts w:ascii="Arial" w:hAnsi="Arial" w:cs="Arial"/>
          <w:color w:val="auto"/>
        </w:rPr>
        <w:t>Risk Lifecycle of Liquidity Risk</w:t>
      </w:r>
      <w:bookmarkEnd w:id="98"/>
      <w:bookmarkEnd w:id="99"/>
      <w:r w:rsidRPr="00F866F6">
        <w:rPr>
          <w:rFonts w:ascii="Arial" w:hAnsi="Arial" w:cs="Arial"/>
          <w:color w:val="auto"/>
        </w:rPr>
        <w:t xml:space="preserve"> </w:t>
      </w:r>
    </w:p>
    <w:p w14:paraId="7E644ED4" w14:textId="77777777" w:rsidR="00E00A20" w:rsidRPr="00F866F6" w:rsidRDefault="00E00A20" w:rsidP="007D0EB4">
      <w:pPr>
        <w:pStyle w:val="Heading4"/>
        <w:numPr>
          <w:ilvl w:val="0"/>
          <w:numId w:val="29"/>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Identification</w:t>
      </w:r>
    </w:p>
    <w:bookmarkEnd w:id="100"/>
    <w:p w14:paraId="69310E07"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The Liquidity Risk ID process ensures potential liquidity risk drivers are captured as part of liquidity stress testing and limits framework. The Liquidity Risk ID process is centred around the liquidity Material Risk Inventory (“MRI”), the Contingent Liquidity Risk Inventory (“CLRI”), which drives the liquidity risk taxonomy, and Key Risk Indicators (“KRIs”):</w:t>
      </w:r>
    </w:p>
    <w:p w14:paraId="19F41BDB" w14:textId="77777777" w:rsidR="00E00A20" w:rsidRPr="00F866F6" w:rsidRDefault="00E00A20" w:rsidP="007D0EB4">
      <w:pPr>
        <w:pStyle w:val="ListParagraph"/>
        <w:numPr>
          <w:ilvl w:val="0"/>
          <w:numId w:val="44"/>
        </w:numPr>
        <w:rPr>
          <w:rFonts w:ascii="Arial" w:hAnsi="Arial" w:cs="Arial"/>
          <w:sz w:val="20"/>
          <w:szCs w:val="20"/>
        </w:rPr>
      </w:pPr>
      <w:r w:rsidRPr="00F866F6">
        <w:rPr>
          <w:rFonts w:ascii="Arial" w:hAnsi="Arial" w:cs="Arial"/>
          <w:sz w:val="20"/>
          <w:szCs w:val="20"/>
        </w:rPr>
        <w:t>The liquidity risk MRI documents Top, Material, Emerging, Idiosyncratic and Growing liquidity risks faced by the firm.</w:t>
      </w:r>
    </w:p>
    <w:p w14:paraId="44DD56F5" w14:textId="77777777" w:rsidR="00E00A20" w:rsidRPr="00F866F6" w:rsidRDefault="00E00A20" w:rsidP="007D0EB4">
      <w:pPr>
        <w:pStyle w:val="ListParagraph"/>
        <w:numPr>
          <w:ilvl w:val="0"/>
          <w:numId w:val="44"/>
        </w:numPr>
        <w:rPr>
          <w:rFonts w:ascii="Arial" w:hAnsi="Arial" w:cs="Arial"/>
          <w:sz w:val="20"/>
          <w:szCs w:val="20"/>
        </w:rPr>
      </w:pPr>
      <w:r w:rsidRPr="00F866F6">
        <w:rPr>
          <w:rFonts w:ascii="Arial" w:hAnsi="Arial" w:cs="Arial"/>
          <w:sz w:val="20"/>
          <w:szCs w:val="20"/>
        </w:rPr>
        <w:t>The CLRI is a catalogue of these risks and drivers at the product level and drives the liquidity risk taxonomy.</w:t>
      </w:r>
    </w:p>
    <w:p w14:paraId="7A5DC9E5" w14:textId="77777777" w:rsidR="00E00A20" w:rsidRPr="00F866F6" w:rsidRDefault="00E00A20" w:rsidP="007D0EB4">
      <w:pPr>
        <w:pStyle w:val="ListParagraph"/>
        <w:numPr>
          <w:ilvl w:val="0"/>
          <w:numId w:val="44"/>
        </w:numPr>
        <w:rPr>
          <w:rFonts w:ascii="Arial" w:hAnsi="Arial" w:cs="Arial"/>
          <w:sz w:val="20"/>
          <w:szCs w:val="20"/>
        </w:rPr>
      </w:pPr>
      <w:r w:rsidRPr="00F866F6">
        <w:rPr>
          <w:rFonts w:ascii="Arial" w:hAnsi="Arial" w:cs="Arial"/>
          <w:sz w:val="20"/>
          <w:szCs w:val="20"/>
        </w:rPr>
        <w:t>KRIs are aligned to the liquidity risk CLRI/taxonomy and used to help identify, measure, or monitor the liquidity risk MRI.</w:t>
      </w:r>
    </w:p>
    <w:p w14:paraId="7B174EAC" w14:textId="77777777" w:rsidR="00E00A20" w:rsidRPr="00F866F6" w:rsidRDefault="00E00A20" w:rsidP="00E00A20">
      <w:pPr>
        <w:rPr>
          <w:rFonts w:ascii="Arial" w:hAnsi="Arial" w:cs="Arial"/>
          <w:sz w:val="20"/>
          <w:szCs w:val="20"/>
        </w:rPr>
      </w:pPr>
    </w:p>
    <w:p w14:paraId="48321FAF" w14:textId="77777777" w:rsidR="00E00A20" w:rsidRPr="00F866F6" w:rsidRDefault="00E00A20" w:rsidP="007D0EB4">
      <w:pPr>
        <w:pStyle w:val="Heading4"/>
        <w:numPr>
          <w:ilvl w:val="0"/>
          <w:numId w:val="29"/>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Measurement</w:t>
      </w:r>
    </w:p>
    <w:p w14:paraId="45F65883"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It is the responsibility of the Citibank Uganda Limited Treasurer to ensure that Citibank Uganda Limited meets the minimum requirements, scope, and frequency associated with liquidity metrics as required by the LRM Policy. At the discretion of the Citibank Uganda Limited Treasurer and Citibank Uganda Limited Treasury Risk Managers, the Citibank Uganda Limited may be subject to more granular measurements and standards. </w:t>
      </w:r>
    </w:p>
    <w:p w14:paraId="16AE6E90" w14:textId="77777777" w:rsidR="00E00A20" w:rsidRPr="00F866F6" w:rsidRDefault="00E00A20" w:rsidP="00E00A20">
      <w:pPr>
        <w:pStyle w:val="BODYSTYLE"/>
        <w:ind w:left="360"/>
        <w:rPr>
          <w:color w:val="auto"/>
          <w:szCs w:val="20"/>
        </w:rPr>
      </w:pPr>
      <w:r w:rsidRPr="00F866F6">
        <w:rPr>
          <w:color w:val="auto"/>
          <w:szCs w:val="20"/>
        </w:rPr>
        <w:t>A complete list of mandated Liquidity Risk metrics can be found in the LRM Policy and LRM Procedures.</w:t>
      </w:r>
    </w:p>
    <w:p w14:paraId="3CD43D0A" w14:textId="77777777" w:rsidR="00E00A20" w:rsidRPr="00F866F6" w:rsidRDefault="00E00A20" w:rsidP="00E00A20">
      <w:pPr>
        <w:rPr>
          <w:rFonts w:ascii="Arial" w:hAnsi="Arial" w:cs="Arial"/>
          <w:sz w:val="20"/>
          <w:szCs w:val="20"/>
        </w:rPr>
      </w:pPr>
    </w:p>
    <w:p w14:paraId="35368159" w14:textId="77777777" w:rsidR="00E00A20" w:rsidRPr="00F866F6" w:rsidRDefault="00E00A20" w:rsidP="007D0EB4">
      <w:pPr>
        <w:pStyle w:val="Heading4"/>
        <w:numPr>
          <w:ilvl w:val="0"/>
          <w:numId w:val="29"/>
        </w:numPr>
        <w:ind w:left="1440" w:hanging="1080"/>
        <w:rPr>
          <w:rFonts w:ascii="Arial" w:hAnsi="Arial" w:cs="Arial"/>
          <w:color w:val="auto"/>
        </w:rPr>
      </w:pPr>
      <w:r w:rsidRPr="00F866F6">
        <w:rPr>
          <w:rFonts w:ascii="Arial" w:hAnsi="Arial" w:cs="Arial"/>
          <w:i w:val="0"/>
          <w:color w:val="auto"/>
        </w:rPr>
        <w:t>Risk Monitoring</w:t>
      </w:r>
    </w:p>
    <w:p w14:paraId="070D0F93"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The Citibank Uganda Limited Treasurer and Citibank Uganda Limited Treasury Risk Manager are responsible for monitoring Liquidity Risk metrics against their established Limits and Triggers on daily, weekly, or monthly basis (depending on the metric).</w:t>
      </w:r>
    </w:p>
    <w:p w14:paraId="1B1B1E85" w14:textId="77777777" w:rsidR="00E00A20" w:rsidRPr="00F866F6" w:rsidRDefault="00E00A20" w:rsidP="00E00A20">
      <w:pPr>
        <w:pStyle w:val="BODYSTYLE"/>
        <w:ind w:left="360"/>
        <w:rPr>
          <w:color w:val="auto"/>
          <w:szCs w:val="20"/>
        </w:rPr>
      </w:pPr>
      <w:r w:rsidRPr="00F866F6">
        <w:rPr>
          <w:color w:val="auto"/>
          <w:szCs w:val="20"/>
        </w:rPr>
        <w:t>Further details of Liquidity Risk metrics, limit/trigger setting, and escalation timelines can be found in the LRM Policy and LRM Procedures.</w:t>
      </w:r>
    </w:p>
    <w:p w14:paraId="7A6E9CEB" w14:textId="77777777" w:rsidR="00E00A20" w:rsidRPr="00F866F6" w:rsidRDefault="00E00A20" w:rsidP="00E00A20">
      <w:pPr>
        <w:pStyle w:val="BODYSTYLE"/>
        <w:rPr>
          <w:color w:val="auto"/>
          <w:szCs w:val="20"/>
        </w:rPr>
      </w:pPr>
    </w:p>
    <w:p w14:paraId="0086E3F4" w14:textId="77777777" w:rsidR="00E00A20" w:rsidRPr="00F866F6" w:rsidRDefault="00E00A20" w:rsidP="007D0EB4">
      <w:pPr>
        <w:pStyle w:val="Heading4"/>
        <w:numPr>
          <w:ilvl w:val="0"/>
          <w:numId w:val="29"/>
        </w:numPr>
        <w:ind w:left="1440" w:hanging="1080"/>
        <w:rPr>
          <w:rFonts w:ascii="Arial" w:hAnsi="Arial" w:cs="Arial"/>
          <w:color w:val="auto"/>
        </w:rPr>
      </w:pPr>
      <w:r w:rsidRPr="00F866F6">
        <w:rPr>
          <w:rFonts w:ascii="Arial" w:hAnsi="Arial" w:cs="Arial"/>
          <w:i w:val="0"/>
          <w:color w:val="auto"/>
        </w:rPr>
        <w:t>Risk Control</w:t>
      </w:r>
    </w:p>
    <w:p w14:paraId="51E3AF6D"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In line with the LRM Policy and LRM Procedures</w:t>
      </w:r>
      <w:r w:rsidRPr="00F866F6" w:rsidDel="007763A2">
        <w:rPr>
          <w:rFonts w:ascii="Arial" w:hAnsi="Arial" w:cs="Arial"/>
          <w:sz w:val="20"/>
          <w:szCs w:val="20"/>
        </w:rPr>
        <w:t xml:space="preserve"> </w:t>
      </w:r>
      <w:r w:rsidRPr="00F866F6">
        <w:rPr>
          <w:rFonts w:ascii="Arial" w:hAnsi="Arial" w:cs="Arial"/>
          <w:sz w:val="20"/>
          <w:szCs w:val="20"/>
        </w:rPr>
        <w:t xml:space="preserve">Citibank Uganda Limited Liquidity Risk is managed by the Citibank Uganda Limited Treasurer, </w:t>
      </w:r>
      <w:proofErr w:type="gramStart"/>
      <w:r w:rsidRPr="00F866F6">
        <w:rPr>
          <w:rFonts w:ascii="Arial" w:hAnsi="Arial" w:cs="Arial"/>
          <w:sz w:val="20"/>
          <w:szCs w:val="20"/>
        </w:rPr>
        <w:t>ALCO</w:t>
      </w:r>
      <w:proofErr w:type="gramEnd"/>
      <w:r w:rsidRPr="00F866F6">
        <w:rPr>
          <w:rFonts w:ascii="Arial" w:hAnsi="Arial" w:cs="Arial"/>
          <w:sz w:val="20"/>
          <w:szCs w:val="20"/>
        </w:rPr>
        <w:t xml:space="preserve"> and the Risk Manager.</w:t>
      </w:r>
    </w:p>
    <w:p w14:paraId="26CDD3C0"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All limit extensions are pre-notified by Citibank Uganda Limited Treasurer. Citibank Uganda Limited Treasury Risk Management is responsible for escalation of breaches to Citibank Uganda Limited Risk Management and Cluster FinCRO Head.</w:t>
      </w:r>
    </w:p>
    <w:p w14:paraId="414121F3" w14:textId="77777777" w:rsidR="00E00A20" w:rsidRPr="00F866F6" w:rsidRDefault="00E00A20" w:rsidP="00E00A20">
      <w:pPr>
        <w:rPr>
          <w:rFonts w:ascii="Arial" w:hAnsi="Arial" w:cs="Arial"/>
          <w:sz w:val="20"/>
          <w:szCs w:val="20"/>
        </w:rPr>
      </w:pPr>
    </w:p>
    <w:p w14:paraId="7AC03FC4" w14:textId="77777777" w:rsidR="00E00A20" w:rsidRPr="00F866F6" w:rsidRDefault="00E00A20" w:rsidP="007D0EB4">
      <w:pPr>
        <w:pStyle w:val="Heading4"/>
        <w:numPr>
          <w:ilvl w:val="0"/>
          <w:numId w:val="29"/>
        </w:numPr>
        <w:ind w:left="1440" w:hanging="1080"/>
        <w:rPr>
          <w:rFonts w:ascii="Arial" w:hAnsi="Arial" w:cs="Arial"/>
          <w:color w:val="auto"/>
        </w:rPr>
      </w:pPr>
      <w:r w:rsidRPr="00F866F6">
        <w:rPr>
          <w:rFonts w:ascii="Arial" w:hAnsi="Arial" w:cs="Arial"/>
          <w:i w:val="0"/>
          <w:color w:val="auto"/>
        </w:rPr>
        <w:t>Risk Reporting</w:t>
      </w:r>
    </w:p>
    <w:p w14:paraId="3C5B2FE6"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The LRM Policy, Standards and LRM Procedures define the Citibank Uganda Limited requirements for reporting, monitoring, and the escalation of breaches of limits and triggers established for key liquidity metrics and exposures. </w:t>
      </w:r>
    </w:p>
    <w:p w14:paraId="11496166"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Any exceptions to the LRM Policy and LRM Procedures are requested by the Citibank Uganda</w:t>
      </w:r>
      <w:r w:rsidRPr="00F866F6">
        <w:rPr>
          <w:szCs w:val="20"/>
        </w:rPr>
        <w:t xml:space="preserve"> </w:t>
      </w:r>
      <w:r w:rsidRPr="00F866F6">
        <w:rPr>
          <w:rFonts w:ascii="Arial" w:hAnsi="Arial" w:cs="Arial"/>
          <w:sz w:val="20"/>
          <w:szCs w:val="20"/>
        </w:rPr>
        <w:t>Treasurer and approved by the Head of Global Liquidity Risk Management or Finance CRO.</w:t>
      </w:r>
    </w:p>
    <w:p w14:paraId="472A4D89" w14:textId="77777777" w:rsidR="00E00A20" w:rsidRPr="00F866F6" w:rsidRDefault="00E00A20" w:rsidP="00E00A20">
      <w:pPr>
        <w:ind w:left="360"/>
        <w:rPr>
          <w:rFonts w:ascii="Arial" w:hAnsi="Arial" w:cs="Arial"/>
          <w:sz w:val="20"/>
          <w:szCs w:val="20"/>
        </w:rPr>
      </w:pPr>
    </w:p>
    <w:p w14:paraId="3CED658C" w14:textId="77777777" w:rsidR="00E00A20" w:rsidRPr="00F866F6" w:rsidRDefault="00E00A20" w:rsidP="007D0EB4">
      <w:pPr>
        <w:pStyle w:val="Heading3"/>
        <w:numPr>
          <w:ilvl w:val="2"/>
          <w:numId w:val="22"/>
        </w:numPr>
        <w:ind w:hanging="720"/>
        <w:rPr>
          <w:rFonts w:ascii="Arial" w:hAnsi="Arial" w:cs="Arial"/>
          <w:color w:val="auto"/>
        </w:rPr>
      </w:pPr>
      <w:bookmarkStart w:id="101" w:name="_Toc130808489"/>
      <w:bookmarkStart w:id="102" w:name="_Toc135136721"/>
      <w:r w:rsidRPr="00F866F6">
        <w:rPr>
          <w:rFonts w:ascii="Arial" w:hAnsi="Arial" w:cs="Arial"/>
          <w:color w:val="auto"/>
        </w:rPr>
        <w:t>Risk Lifecycle of Strategic Risk</w:t>
      </w:r>
      <w:bookmarkEnd w:id="101"/>
      <w:bookmarkEnd w:id="102"/>
      <w:r w:rsidRPr="00F866F6">
        <w:rPr>
          <w:rFonts w:ascii="Arial" w:hAnsi="Arial" w:cs="Arial"/>
          <w:color w:val="auto"/>
        </w:rPr>
        <w:t xml:space="preserve"> </w:t>
      </w:r>
    </w:p>
    <w:p w14:paraId="7A5D9175" w14:textId="77777777" w:rsidR="00E00A20" w:rsidRPr="009A1DC2" w:rsidRDefault="00E00A20" w:rsidP="00E00A20">
      <w:pPr>
        <w:rPr>
          <w:rFonts w:ascii="Arial" w:hAnsi="Arial" w:cs="Arial"/>
          <w:sz w:val="20"/>
          <w:szCs w:val="20"/>
        </w:rPr>
      </w:pPr>
      <w:r w:rsidRPr="009A1DC2">
        <w:rPr>
          <w:rFonts w:ascii="Arial" w:hAnsi="Arial" w:cs="Arial"/>
          <w:sz w:val="20"/>
          <w:szCs w:val="20"/>
        </w:rPr>
        <w:t>Citi’s Executive Management, with the Citigroup CEO as the lead, is ultimately responsible for the development and execution for the strategy of the firm.</w:t>
      </w:r>
    </w:p>
    <w:p w14:paraId="72A24164" w14:textId="77777777" w:rsidR="00E00A20" w:rsidRPr="009A1DC2" w:rsidRDefault="00E00A20" w:rsidP="00E00A20">
      <w:pPr>
        <w:rPr>
          <w:rFonts w:ascii="Arial" w:hAnsi="Arial" w:cs="Arial"/>
          <w:sz w:val="20"/>
          <w:szCs w:val="20"/>
        </w:rPr>
      </w:pPr>
      <w:r w:rsidRPr="009A1DC2">
        <w:rPr>
          <w:rFonts w:ascii="Arial" w:hAnsi="Arial" w:cs="Arial"/>
          <w:sz w:val="20"/>
          <w:szCs w:val="20"/>
        </w:rPr>
        <w:t>The CCC serves as the country-level committee to govern Strategic Risk which it does by monitoring KRI’s in relation to risks to the strategic plan, performance against Financial / Business plan and reviewing the output of ICAAP / other legal entity regulatory requirement where Strategic Risks may be identified.</w:t>
      </w:r>
    </w:p>
    <w:p w14:paraId="55B39E53" w14:textId="77777777" w:rsidR="00E00A20" w:rsidRPr="00F866F6" w:rsidRDefault="00E00A20" w:rsidP="00E00A20">
      <w:pPr>
        <w:pStyle w:val="ListParagraph"/>
        <w:ind w:left="480"/>
      </w:pPr>
    </w:p>
    <w:p w14:paraId="66CDBFE0" w14:textId="77777777" w:rsidR="00E00A20" w:rsidRPr="00F866F6" w:rsidRDefault="00E00A20" w:rsidP="007D0EB4">
      <w:pPr>
        <w:pStyle w:val="Heading4"/>
        <w:numPr>
          <w:ilvl w:val="0"/>
          <w:numId w:val="30"/>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Identification</w:t>
      </w:r>
    </w:p>
    <w:p w14:paraId="7E46D986"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Citi initially identifies and assesses Strategic Risk through the Strategic Planning process, which includes the Risk Assessment of the Strategic Plan. The risk assessment covers the risks inherent to the Strategic Plan and risks in executing the Strategic Plan. The Strategic and Financial Planning Policy details the key components of the framework.</w:t>
      </w:r>
    </w:p>
    <w:p w14:paraId="7F13F21F" w14:textId="77777777" w:rsidR="00E00A20" w:rsidRPr="00F866F6" w:rsidRDefault="00E00A20" w:rsidP="00E00A20">
      <w:pPr>
        <w:ind w:left="360"/>
        <w:rPr>
          <w:rFonts w:ascii="Arial" w:eastAsia="Arial" w:hAnsi="Arial" w:cs="Arial"/>
          <w:sz w:val="20"/>
          <w:szCs w:val="20"/>
          <w:lang w:val="en-US" w:eastAsia="en-US"/>
        </w:rPr>
      </w:pPr>
      <w:r w:rsidRPr="00F866F6">
        <w:rPr>
          <w:rFonts w:ascii="Arial" w:eastAsia="Arial" w:hAnsi="Arial" w:cs="Arial"/>
          <w:sz w:val="20"/>
          <w:szCs w:val="20"/>
          <w:lang w:val="en-US" w:eastAsia="en-US"/>
        </w:rPr>
        <w:t>Citibank Uganda Limited initially identifies and assesses Risks to the Strategic Plan. The risk assessment covers the risks inherent to the Strategic Plan and risks in executing the Strategic Plan. The Strategic and Financial Planning Policy details the key components of the framework.</w:t>
      </w:r>
    </w:p>
    <w:p w14:paraId="3B3C86A0"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2"/>
          <w:lang w:val="en-US" w:eastAsia="en-US"/>
        </w:rPr>
        <w:t>Citibank Uganda Limited has developed a Strategic Plan as per Bank of Uganda’s Risk Management Guidelines, 2010 where Strategic Risks are documented for Citibank Uganda Limited.</w:t>
      </w:r>
    </w:p>
    <w:p w14:paraId="1C05693D"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2"/>
          <w:lang w:val="en-US" w:eastAsia="en-US"/>
        </w:rPr>
        <w:t xml:space="preserve">Citibank Uganda Limited </w:t>
      </w:r>
      <w:r w:rsidRPr="00F866F6">
        <w:rPr>
          <w:rFonts w:ascii="Arial" w:eastAsia="Arial" w:hAnsi="Arial" w:cs="Arial"/>
          <w:noProof/>
          <w:sz w:val="20"/>
          <w:szCs w:val="20"/>
          <w:lang w:val="en-US" w:eastAsia="en-US"/>
        </w:rPr>
        <w:t>Senior Management identifies and assesses Strategic Risk through the Strategic Planning process which includes a comprehensive risk assessment of the Plan in accordance with the ERMF. The risks inherent to and in executing the Strategic Plan are raised through that process.</w:t>
      </w:r>
    </w:p>
    <w:p w14:paraId="16A31D15" w14:textId="77777777" w:rsidR="00E00A20" w:rsidRPr="00F866F6" w:rsidRDefault="00E00A20" w:rsidP="00E00A20">
      <w:pPr>
        <w:ind w:left="360"/>
        <w:rPr>
          <w:rFonts w:ascii="Arial" w:eastAsia="Arial" w:hAnsi="Arial" w:cs="Arial"/>
          <w:b/>
          <w:bCs/>
          <w:sz w:val="20"/>
          <w:szCs w:val="20"/>
          <w:lang w:val="en-US" w:eastAsia="en-US"/>
        </w:rPr>
      </w:pPr>
      <w:r w:rsidRPr="00F866F6">
        <w:rPr>
          <w:rFonts w:ascii="Arial" w:eastAsia="Arial" w:hAnsi="Arial" w:cs="Arial"/>
          <w:b/>
          <w:bCs/>
          <w:sz w:val="20"/>
          <w:szCs w:val="20"/>
          <w:lang w:val="en-US" w:eastAsia="en-US"/>
        </w:rPr>
        <w:t>ICAAP / Other legal entity regulatory requirements process</w:t>
      </w:r>
    </w:p>
    <w:p w14:paraId="0A9F72E4" w14:textId="77777777" w:rsidR="00E00A20" w:rsidRPr="00F866F6" w:rsidRDefault="00E00A20" w:rsidP="00E00A20">
      <w:pPr>
        <w:ind w:left="360"/>
        <w:rPr>
          <w:rFonts w:ascii="Arial" w:eastAsia="Arial" w:hAnsi="Arial" w:cs="Arial"/>
          <w:sz w:val="20"/>
          <w:szCs w:val="20"/>
          <w:lang w:val="en-US" w:eastAsia="en-US"/>
        </w:rPr>
      </w:pPr>
      <w:r w:rsidRPr="00F866F6">
        <w:rPr>
          <w:rFonts w:ascii="Arial" w:eastAsia="Arial" w:hAnsi="Arial" w:cs="Arial"/>
          <w:sz w:val="20"/>
          <w:szCs w:val="20"/>
          <w:lang w:val="en-US" w:eastAsia="en-US"/>
        </w:rPr>
        <w:t>On a periodic basis, Citibank Uganda performs risk identification as part of ICAAP / Other regulatory requirements. The risks that are identified are reviewed against the Strategic Risk Taxonomy to evaluate if they may have an impact on the strategy of the legal entity i.e., a long-term impact that hinders the strategy from being executed and the desired outcome not being achieved.</w:t>
      </w:r>
    </w:p>
    <w:p w14:paraId="22075A83" w14:textId="77777777" w:rsidR="00E00A20" w:rsidRPr="00F866F6" w:rsidRDefault="00E00A20" w:rsidP="00E00A20">
      <w:pPr>
        <w:ind w:left="360"/>
        <w:rPr>
          <w:rFonts w:ascii="Arial" w:eastAsia="Arial" w:hAnsi="Arial" w:cs="Arial"/>
          <w:sz w:val="20"/>
          <w:szCs w:val="20"/>
          <w:lang w:val="en-US" w:eastAsia="en-US"/>
        </w:rPr>
      </w:pPr>
    </w:p>
    <w:p w14:paraId="0F282A96" w14:textId="77777777" w:rsidR="00E00A20" w:rsidRPr="00F866F6" w:rsidRDefault="00E00A20" w:rsidP="00E00A20">
      <w:pPr>
        <w:ind w:left="360"/>
        <w:rPr>
          <w:rFonts w:ascii="Arial" w:eastAsia="Arial" w:hAnsi="Arial" w:cs="Arial"/>
          <w:b/>
          <w:bCs/>
          <w:sz w:val="20"/>
          <w:szCs w:val="20"/>
          <w:lang w:val="en-US" w:eastAsia="en-US"/>
        </w:rPr>
      </w:pPr>
      <w:r w:rsidRPr="00F866F6">
        <w:rPr>
          <w:rFonts w:ascii="Arial" w:eastAsia="Arial" w:hAnsi="Arial" w:cs="Arial"/>
          <w:b/>
          <w:bCs/>
          <w:sz w:val="20"/>
          <w:szCs w:val="20"/>
          <w:lang w:val="en-US" w:eastAsia="en-US"/>
        </w:rPr>
        <w:t>Financial / Business Plan</w:t>
      </w:r>
    </w:p>
    <w:p w14:paraId="12F66B8D" w14:textId="77777777" w:rsidR="00E00A20" w:rsidRPr="00F866F6" w:rsidRDefault="00E00A20" w:rsidP="00E00A20">
      <w:pPr>
        <w:ind w:left="360"/>
        <w:rPr>
          <w:rFonts w:ascii="Arial" w:eastAsia="Arial" w:hAnsi="Arial" w:cs="Arial"/>
          <w:sz w:val="20"/>
          <w:szCs w:val="20"/>
          <w:lang w:val="en-US" w:eastAsia="en-US"/>
        </w:rPr>
      </w:pPr>
      <w:r w:rsidRPr="00F866F6">
        <w:rPr>
          <w:rFonts w:ascii="Arial" w:eastAsia="Arial" w:hAnsi="Arial" w:cs="Arial"/>
          <w:sz w:val="20"/>
          <w:szCs w:val="20"/>
          <w:lang w:val="en-US" w:eastAsia="en-US"/>
        </w:rPr>
        <w:t>The Legal Entity Board and the CCC monitor the financial performance of the legal entity against plan / budget as well as other KPI’s.</w:t>
      </w:r>
    </w:p>
    <w:p w14:paraId="1288B666" w14:textId="77777777" w:rsidR="00E00A20" w:rsidRPr="00F866F6" w:rsidRDefault="00E00A20" w:rsidP="00E00A20">
      <w:pPr>
        <w:ind w:left="360"/>
        <w:rPr>
          <w:rFonts w:ascii="Arial" w:eastAsia="Arial" w:hAnsi="Arial" w:cs="Arial"/>
          <w:sz w:val="20"/>
          <w:szCs w:val="20"/>
          <w:lang w:val="en-US" w:eastAsia="en-US"/>
        </w:rPr>
      </w:pPr>
      <w:r w:rsidRPr="00F866F6">
        <w:rPr>
          <w:rFonts w:ascii="Arial" w:eastAsia="Arial" w:hAnsi="Arial" w:cs="Arial"/>
          <w:sz w:val="20"/>
          <w:szCs w:val="20"/>
          <w:lang w:val="en-US" w:eastAsia="en-US"/>
        </w:rPr>
        <w:t>Material deviations are discussed to understand the causes for the deviation including strategic risks.</w:t>
      </w:r>
    </w:p>
    <w:p w14:paraId="21CA270C" w14:textId="77777777" w:rsidR="00E00A20" w:rsidRPr="00F866F6" w:rsidRDefault="00E00A20" w:rsidP="00E00A20">
      <w:pPr>
        <w:rPr>
          <w:rFonts w:ascii="Arial" w:eastAsia="Arial" w:hAnsi="Arial" w:cs="Arial"/>
          <w:sz w:val="20"/>
          <w:szCs w:val="20"/>
          <w:lang w:val="en-US" w:eastAsia="en-US"/>
        </w:rPr>
      </w:pPr>
    </w:p>
    <w:p w14:paraId="6348AF7B" w14:textId="77777777" w:rsidR="00E00A20" w:rsidRPr="00F866F6" w:rsidRDefault="00E00A20" w:rsidP="007D0EB4">
      <w:pPr>
        <w:pStyle w:val="Heading4"/>
        <w:numPr>
          <w:ilvl w:val="0"/>
          <w:numId w:val="30"/>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Measurement</w:t>
      </w:r>
    </w:p>
    <w:p w14:paraId="7680DD65"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 xml:space="preserve">The </w:t>
      </w:r>
      <w:r w:rsidRPr="00F866F6">
        <w:rPr>
          <w:rFonts w:ascii="Arial" w:hAnsi="Arial" w:cs="Arial"/>
          <w:sz w:val="20"/>
          <w:szCs w:val="20"/>
        </w:rPr>
        <w:t>First Line</w:t>
      </w:r>
      <w:r w:rsidRPr="00F866F6">
        <w:rPr>
          <w:rFonts w:ascii="Arial" w:eastAsia="Arial" w:hAnsi="Arial" w:cs="Arial"/>
          <w:noProof/>
          <w:sz w:val="20"/>
          <w:szCs w:val="20"/>
          <w:lang w:val="en-US" w:eastAsia="en-US"/>
        </w:rPr>
        <w:t xml:space="preserve"> is responsible for identifying, assessing, and managing Strategic Risks</w:t>
      </w:r>
      <w:r w:rsidRPr="00F866F6">
        <w:rPr>
          <w:rFonts w:ascii="Arial" w:eastAsia="Arial" w:hAnsi="Arial" w:cs="Arial"/>
          <w:sz w:val="20"/>
          <w:szCs w:val="20"/>
          <w:lang w:val="en-US" w:eastAsia="en-US"/>
        </w:rPr>
        <w:t xml:space="preserve"> with IRM</w:t>
      </w:r>
      <w:r w:rsidRPr="00F866F6">
        <w:rPr>
          <w:rFonts w:ascii="Arial" w:eastAsia="Arial" w:hAnsi="Arial" w:cs="Arial"/>
          <w:noProof/>
          <w:sz w:val="20"/>
          <w:szCs w:val="20"/>
          <w:lang w:val="en-US" w:eastAsia="en-US"/>
        </w:rPr>
        <w:t xml:space="preserve"> </w:t>
      </w:r>
      <w:r w:rsidRPr="00F866F6">
        <w:rPr>
          <w:rFonts w:ascii="Arial" w:eastAsia="Arial" w:hAnsi="Arial" w:cs="Arial"/>
          <w:sz w:val="20"/>
          <w:szCs w:val="20"/>
          <w:lang w:val="en-US" w:eastAsia="en-US"/>
        </w:rPr>
        <w:t>and/or ICRM teams performing their review</w:t>
      </w:r>
      <w:r w:rsidRPr="00F866F6">
        <w:rPr>
          <w:rFonts w:ascii="Arial" w:eastAsia="Arial" w:hAnsi="Arial" w:cs="Arial"/>
          <w:noProof/>
          <w:sz w:val="20"/>
          <w:szCs w:val="20"/>
          <w:lang w:val="en-US" w:eastAsia="en-US"/>
        </w:rPr>
        <w:t xml:space="preserve"> as </w:t>
      </w:r>
      <w:r w:rsidRPr="00F866F6">
        <w:rPr>
          <w:rFonts w:ascii="Arial" w:eastAsia="Arial" w:hAnsi="Arial" w:cs="Arial"/>
          <w:sz w:val="20"/>
          <w:szCs w:val="20"/>
          <w:lang w:val="en-US" w:eastAsia="en-US"/>
        </w:rPr>
        <w:t>part of Citibank Uganda</w:t>
      </w:r>
      <w:r w:rsidRPr="00F866F6">
        <w:rPr>
          <w:rFonts w:ascii="Arial" w:eastAsia="Arial" w:hAnsi="Arial" w:cs="Arial"/>
          <w:noProof/>
          <w:sz w:val="20"/>
          <w:szCs w:val="20"/>
          <w:lang w:val="en-US" w:eastAsia="en-US"/>
        </w:rPr>
        <w:t xml:space="preserve"> ICAAP / other regulatory requirments process, the CCC and Citibank Uganda Board </w:t>
      </w:r>
      <w:r w:rsidRPr="00F866F6">
        <w:rPr>
          <w:rFonts w:ascii="Arial" w:eastAsia="Arial" w:hAnsi="Arial" w:cs="Arial"/>
          <w:sz w:val="20"/>
          <w:szCs w:val="20"/>
          <w:lang w:val="en-US" w:eastAsia="en-US"/>
        </w:rPr>
        <w:t>performance monitoring / Strategic</w:t>
      </w:r>
      <w:r w:rsidRPr="00F866F6">
        <w:rPr>
          <w:rFonts w:ascii="Arial" w:eastAsia="Arial" w:hAnsi="Arial" w:cs="Arial"/>
          <w:noProof/>
          <w:sz w:val="20"/>
          <w:szCs w:val="20"/>
          <w:lang w:val="en-US" w:eastAsia="en-US"/>
        </w:rPr>
        <w:t xml:space="preserve"> </w:t>
      </w:r>
      <w:r w:rsidRPr="00F866F6">
        <w:rPr>
          <w:rFonts w:ascii="Arial" w:eastAsia="Arial" w:hAnsi="Arial" w:cs="Arial"/>
          <w:sz w:val="20"/>
          <w:szCs w:val="20"/>
          <w:lang w:val="en-US" w:eastAsia="en-US"/>
        </w:rPr>
        <w:t>Plan monitoring.</w:t>
      </w:r>
    </w:p>
    <w:p w14:paraId="48BA521E" w14:textId="77777777" w:rsidR="00E00A20" w:rsidRPr="00F866F6" w:rsidRDefault="00E00A20" w:rsidP="00E00A20">
      <w:pPr>
        <w:tabs>
          <w:tab w:val="left" w:pos="1440"/>
        </w:tabs>
        <w:rPr>
          <w:rFonts w:ascii="Arial" w:eastAsia="Arial" w:hAnsi="Arial" w:cs="Arial"/>
          <w:noProof/>
          <w:sz w:val="20"/>
          <w:szCs w:val="20"/>
          <w:lang w:val="en-US" w:eastAsia="en-US"/>
        </w:rPr>
      </w:pPr>
    </w:p>
    <w:p w14:paraId="2EED2E6D" w14:textId="77777777" w:rsidR="00E00A20" w:rsidRPr="00F866F6" w:rsidRDefault="00E00A20" w:rsidP="007D0EB4">
      <w:pPr>
        <w:pStyle w:val="Heading4"/>
        <w:numPr>
          <w:ilvl w:val="0"/>
          <w:numId w:val="30"/>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Monitoring</w:t>
      </w:r>
    </w:p>
    <w:p w14:paraId="5C1AEA28"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 xml:space="preserve">Strategic </w:t>
      </w:r>
      <w:r w:rsidRPr="00F866F6">
        <w:rPr>
          <w:rFonts w:ascii="Arial" w:eastAsia="Arial" w:hAnsi="Arial" w:cs="Arial"/>
          <w:sz w:val="20"/>
          <w:szCs w:val="20"/>
          <w:lang w:val="en-US" w:eastAsia="en-US"/>
        </w:rPr>
        <w:t>Risks</w:t>
      </w:r>
      <w:r w:rsidRPr="00F866F6">
        <w:rPr>
          <w:rFonts w:ascii="Arial" w:eastAsia="Arial" w:hAnsi="Arial" w:cs="Arial"/>
          <w:noProof/>
          <w:sz w:val="20"/>
          <w:szCs w:val="20"/>
          <w:lang w:val="en-US" w:eastAsia="en-US"/>
        </w:rPr>
        <w:t xml:space="preserve"> are </w:t>
      </w:r>
      <w:r w:rsidRPr="00F866F6">
        <w:rPr>
          <w:rFonts w:ascii="Arial" w:eastAsia="Arial" w:hAnsi="Arial" w:cs="Arial"/>
          <w:sz w:val="20"/>
          <w:szCs w:val="20"/>
          <w:lang w:val="en-US" w:eastAsia="en-US"/>
        </w:rPr>
        <w:t>monitored by the CCC</w:t>
      </w:r>
      <w:r w:rsidRPr="00F866F6">
        <w:rPr>
          <w:rFonts w:ascii="Arial" w:eastAsia="Arial" w:hAnsi="Arial" w:cs="Arial"/>
          <w:noProof/>
          <w:sz w:val="20"/>
          <w:szCs w:val="20"/>
          <w:lang w:val="en-US" w:eastAsia="en-US"/>
        </w:rPr>
        <w:t xml:space="preserve"> and Citibank Uganda Board </w:t>
      </w:r>
      <w:r w:rsidRPr="00F866F6">
        <w:rPr>
          <w:rFonts w:ascii="Arial" w:eastAsia="Arial" w:hAnsi="Arial" w:cs="Arial"/>
          <w:sz w:val="20"/>
          <w:szCs w:val="20"/>
          <w:lang w:val="en-US" w:eastAsia="en-US"/>
        </w:rPr>
        <w:t>through reviews of the</w:t>
      </w:r>
      <w:r w:rsidRPr="00F866F6">
        <w:rPr>
          <w:rFonts w:ascii="Arial" w:eastAsia="Arial" w:hAnsi="Arial" w:cs="Arial"/>
          <w:noProof/>
          <w:sz w:val="20"/>
          <w:szCs w:val="20"/>
          <w:lang w:val="en-US" w:eastAsia="en-US"/>
        </w:rPr>
        <w:t xml:space="preserve"> ICAAP / other regulatory requirments process / </w:t>
      </w:r>
      <w:r w:rsidRPr="00F866F6">
        <w:rPr>
          <w:rFonts w:ascii="Arial" w:eastAsia="Arial" w:hAnsi="Arial" w:cs="Arial"/>
          <w:sz w:val="20"/>
          <w:szCs w:val="20"/>
          <w:lang w:val="en-US" w:eastAsia="en-US"/>
        </w:rPr>
        <w:t>Financial Plan monitoring / Strategic Plan Monitoring.</w:t>
      </w:r>
    </w:p>
    <w:p w14:paraId="0F95E337" w14:textId="77777777" w:rsidR="00E00A20" w:rsidRPr="00F866F6" w:rsidRDefault="00E00A20" w:rsidP="00E00A20">
      <w:pPr>
        <w:rPr>
          <w:rFonts w:ascii="Arial" w:eastAsia="Arial" w:hAnsi="Arial" w:cs="Arial"/>
          <w:noProof/>
          <w:sz w:val="20"/>
          <w:szCs w:val="20"/>
          <w:lang w:val="en-US" w:eastAsia="en-US"/>
        </w:rPr>
      </w:pPr>
    </w:p>
    <w:p w14:paraId="043A70ED" w14:textId="77777777" w:rsidR="00E00A20" w:rsidRPr="00F866F6" w:rsidRDefault="00E00A20" w:rsidP="007D0EB4">
      <w:pPr>
        <w:pStyle w:val="Heading4"/>
        <w:numPr>
          <w:ilvl w:val="0"/>
          <w:numId w:val="30"/>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Control</w:t>
      </w:r>
    </w:p>
    <w:p w14:paraId="510AF390"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hAnsi="Arial" w:cs="Arial"/>
          <w:sz w:val="20"/>
          <w:szCs w:val="20"/>
        </w:rPr>
        <w:t xml:space="preserve">The first line is responsible for identifying, assessing, and managing Strategic Risks with </w:t>
      </w:r>
      <w:r w:rsidRPr="00F866F6">
        <w:rPr>
          <w:rFonts w:ascii="Arial" w:eastAsia="Arial" w:hAnsi="Arial" w:cs="Arial"/>
          <w:noProof/>
          <w:sz w:val="20"/>
          <w:szCs w:val="20"/>
          <w:lang w:val="en-US" w:eastAsia="en-US"/>
        </w:rPr>
        <w:t xml:space="preserve">IRM and/or ICRM teams </w:t>
      </w:r>
      <w:r w:rsidRPr="00F866F6">
        <w:rPr>
          <w:rFonts w:ascii="Arial" w:eastAsia="Arial" w:hAnsi="Arial" w:cs="Arial"/>
          <w:sz w:val="20"/>
          <w:szCs w:val="20"/>
          <w:lang w:val="en-US" w:eastAsia="en-US"/>
        </w:rPr>
        <w:t>performing their review as part of the Legal</w:t>
      </w:r>
      <w:r w:rsidRPr="00F866F6">
        <w:rPr>
          <w:rFonts w:ascii="Arial" w:eastAsia="Arial" w:hAnsi="Arial" w:cs="Arial"/>
          <w:noProof/>
          <w:sz w:val="20"/>
          <w:szCs w:val="20"/>
          <w:lang w:val="en-US" w:eastAsia="en-US"/>
        </w:rPr>
        <w:t xml:space="preserve"> Entity ICAAP / other legal entity regulatory requirements </w:t>
      </w:r>
      <w:r w:rsidRPr="00F866F6">
        <w:rPr>
          <w:rFonts w:ascii="Arial" w:eastAsia="Arial" w:hAnsi="Arial" w:cs="Arial"/>
          <w:sz w:val="20"/>
          <w:szCs w:val="20"/>
          <w:lang w:val="en-US" w:eastAsia="en-US"/>
        </w:rPr>
        <w:t>process, the CCC / LE Board</w:t>
      </w:r>
      <w:r w:rsidRPr="00F866F6">
        <w:rPr>
          <w:rFonts w:ascii="Arial" w:eastAsia="Arial" w:hAnsi="Arial" w:cs="Arial"/>
          <w:noProof/>
          <w:sz w:val="20"/>
          <w:szCs w:val="20"/>
          <w:lang w:val="en-US" w:eastAsia="en-US"/>
        </w:rPr>
        <w:t xml:space="preserve"> </w:t>
      </w:r>
      <w:r w:rsidRPr="00F866F6">
        <w:rPr>
          <w:rFonts w:ascii="Arial" w:eastAsia="Arial" w:hAnsi="Arial" w:cs="Arial"/>
          <w:sz w:val="20"/>
          <w:szCs w:val="20"/>
          <w:lang w:val="en-US" w:eastAsia="en-US"/>
        </w:rPr>
        <w:t>performance monitoring / Strategic Plan monitoring.</w:t>
      </w:r>
    </w:p>
    <w:p w14:paraId="2C2EAF62" w14:textId="77777777" w:rsidR="00E00A20" w:rsidRPr="00F866F6" w:rsidRDefault="00E00A20" w:rsidP="00E00A20">
      <w:pPr>
        <w:ind w:left="360"/>
        <w:rPr>
          <w:rFonts w:ascii="Arial" w:eastAsia="Arial" w:hAnsi="Arial" w:cs="Arial"/>
          <w:noProof/>
          <w:sz w:val="20"/>
          <w:szCs w:val="20"/>
          <w:lang w:val="en-US" w:eastAsia="en-US"/>
        </w:rPr>
      </w:pPr>
    </w:p>
    <w:p w14:paraId="160B14CD" w14:textId="77777777" w:rsidR="00E00A20" w:rsidRPr="00F866F6" w:rsidRDefault="00E00A20" w:rsidP="007D0EB4">
      <w:pPr>
        <w:pStyle w:val="Heading4"/>
        <w:numPr>
          <w:ilvl w:val="0"/>
          <w:numId w:val="30"/>
        </w:numPr>
        <w:ind w:left="1440" w:hanging="1080"/>
        <w:rPr>
          <w:rFonts w:ascii="Arial" w:hAnsi="Arial" w:cs="Arial"/>
          <w:color w:val="auto"/>
        </w:rPr>
      </w:pPr>
      <w:r w:rsidRPr="00F866F6">
        <w:rPr>
          <w:rFonts w:ascii="Arial" w:hAnsi="Arial" w:cs="Arial"/>
          <w:i w:val="0"/>
          <w:color w:val="auto"/>
        </w:rPr>
        <w:t>Risk Reporting</w:t>
      </w:r>
    </w:p>
    <w:p w14:paraId="4229B9EA"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 xml:space="preserve">Strategic Risk metrics and key indicators are reported to </w:t>
      </w:r>
      <w:r w:rsidRPr="00F866F6">
        <w:rPr>
          <w:rFonts w:ascii="Arial" w:hAnsi="Arial" w:cs="Arial"/>
          <w:sz w:val="20"/>
          <w:szCs w:val="20"/>
        </w:rPr>
        <w:t>Citibank Uganda Limited</w:t>
      </w:r>
      <w:r w:rsidRPr="00F866F6">
        <w:rPr>
          <w:rFonts w:ascii="Arial" w:eastAsia="Arial" w:hAnsi="Arial" w:cs="Arial"/>
          <w:noProof/>
          <w:sz w:val="20"/>
          <w:szCs w:val="20"/>
          <w:lang w:val="en-US" w:eastAsia="en-US"/>
        </w:rPr>
        <w:t xml:space="preserve"> Senior Management, Board and </w:t>
      </w:r>
      <w:r w:rsidRPr="00F866F6">
        <w:rPr>
          <w:rFonts w:ascii="Arial" w:eastAsia="Arial" w:hAnsi="Arial" w:cs="Arial"/>
          <w:sz w:val="20"/>
          <w:szCs w:val="20"/>
          <w:lang w:val="en-US" w:eastAsia="en-US"/>
        </w:rPr>
        <w:t xml:space="preserve">Management Committees </w:t>
      </w:r>
      <w:r w:rsidRPr="00F866F6">
        <w:rPr>
          <w:rFonts w:ascii="Arial" w:eastAsia="Arial" w:hAnsi="Arial" w:cs="Arial"/>
          <w:noProof/>
          <w:sz w:val="20"/>
          <w:szCs w:val="20"/>
          <w:lang w:val="en-US" w:eastAsia="en-US"/>
        </w:rPr>
        <w:t xml:space="preserve">on a quarterly basis.  Citibank Uganda ICAAP is performed annually </w:t>
      </w:r>
      <w:r w:rsidRPr="00F866F6">
        <w:rPr>
          <w:rFonts w:ascii="Arial" w:eastAsia="Arial" w:hAnsi="Arial" w:cs="Arial"/>
          <w:sz w:val="20"/>
          <w:szCs w:val="20"/>
          <w:lang w:val="en-US" w:eastAsia="en-US"/>
        </w:rPr>
        <w:t>and reviewed by the</w:t>
      </w:r>
      <w:r w:rsidRPr="00F866F6">
        <w:rPr>
          <w:rFonts w:ascii="Arial" w:eastAsia="Arial" w:hAnsi="Arial" w:cs="Arial"/>
          <w:noProof/>
          <w:sz w:val="20"/>
          <w:szCs w:val="20"/>
          <w:lang w:val="en-US" w:eastAsia="en-US"/>
        </w:rPr>
        <w:t xml:space="preserve"> </w:t>
      </w:r>
      <w:r w:rsidRPr="00F866F6">
        <w:rPr>
          <w:rFonts w:ascii="Arial" w:eastAsia="Arial" w:hAnsi="Arial" w:cs="Arial"/>
          <w:sz w:val="20"/>
          <w:szCs w:val="20"/>
          <w:lang w:val="en-US" w:eastAsia="en-US"/>
        </w:rPr>
        <w:t>CCC and Citibank Uganda Board.</w:t>
      </w:r>
    </w:p>
    <w:p w14:paraId="55CE1DBF" w14:textId="77777777" w:rsidR="00E00A20" w:rsidRPr="00F866F6" w:rsidRDefault="00E00A20" w:rsidP="00E00A20">
      <w:pPr>
        <w:rPr>
          <w:rFonts w:ascii="Arial" w:eastAsia="Arial" w:hAnsi="Arial" w:cs="Arial"/>
          <w:noProof/>
          <w:sz w:val="20"/>
          <w:szCs w:val="20"/>
          <w:lang w:val="en-US" w:eastAsia="en-US"/>
        </w:rPr>
      </w:pPr>
    </w:p>
    <w:p w14:paraId="5F581D20" w14:textId="77777777" w:rsidR="00E00A20" w:rsidRPr="00F866F6" w:rsidRDefault="00E00A20" w:rsidP="007D0EB4">
      <w:pPr>
        <w:pStyle w:val="Heading3"/>
        <w:numPr>
          <w:ilvl w:val="2"/>
          <w:numId w:val="22"/>
        </w:numPr>
        <w:ind w:hanging="720"/>
        <w:rPr>
          <w:rFonts w:ascii="Arial" w:hAnsi="Arial" w:cs="Arial"/>
          <w:color w:val="auto"/>
        </w:rPr>
      </w:pPr>
      <w:bookmarkStart w:id="103" w:name="_Toc130808491"/>
      <w:bookmarkStart w:id="104" w:name="_Toc135136722"/>
      <w:r w:rsidRPr="00F866F6">
        <w:rPr>
          <w:rFonts w:ascii="Arial" w:hAnsi="Arial" w:cs="Arial"/>
          <w:color w:val="auto"/>
        </w:rPr>
        <w:t>Risk Lifecycle of Operational Risk</w:t>
      </w:r>
      <w:bookmarkEnd w:id="103"/>
      <w:bookmarkEnd w:id="104"/>
      <w:r w:rsidRPr="00F866F6">
        <w:rPr>
          <w:rFonts w:ascii="Arial" w:hAnsi="Arial" w:cs="Arial"/>
          <w:color w:val="auto"/>
        </w:rPr>
        <w:t xml:space="preserve"> </w:t>
      </w:r>
    </w:p>
    <w:p w14:paraId="52622E50" w14:textId="77777777" w:rsidR="00E00A20" w:rsidRPr="00F866F6" w:rsidRDefault="00E00A20" w:rsidP="007D0EB4">
      <w:pPr>
        <w:pStyle w:val="Heading4"/>
        <w:numPr>
          <w:ilvl w:val="0"/>
          <w:numId w:val="33"/>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Identification</w:t>
      </w:r>
    </w:p>
    <w:p w14:paraId="1B979D2A"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The Operational Risk Identification, Measurement, Monitoring and Mitigation Standard defines what Operational Risk identification methodology must be applied for what kind of Operational Risks, at what level of granularity and with what frequency, and includes but is not limited to requirements around Key Operational Risks, Manager’s Control Assessments (“MCAs”), Emerging and Concentration of Operational Risks.</w:t>
      </w:r>
    </w:p>
    <w:p w14:paraId="22750F87"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Businesses and Functions systemically, methodologically, periodically and in compliance with regulatory requirements identify the Operational Risks they are exposed to, including existing and emerging risks, and including Operational Risks that result from the introduction of new or changes to existing products, or result from significant changes in organizational structures, systems, </w:t>
      </w:r>
      <w:proofErr w:type="gramStart"/>
      <w:r w:rsidRPr="00F866F6">
        <w:rPr>
          <w:rFonts w:ascii="Arial" w:hAnsi="Arial" w:cs="Arial"/>
          <w:sz w:val="20"/>
          <w:szCs w:val="20"/>
        </w:rPr>
        <w:t>processes</w:t>
      </w:r>
      <w:proofErr w:type="gramEnd"/>
      <w:r w:rsidRPr="00F866F6">
        <w:rPr>
          <w:rFonts w:ascii="Arial" w:hAnsi="Arial" w:cs="Arial"/>
          <w:sz w:val="20"/>
          <w:szCs w:val="20"/>
        </w:rPr>
        <w:t xml:space="preserve"> or personnel.</w:t>
      </w:r>
    </w:p>
    <w:p w14:paraId="7FE17B84"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Citibank Uganda Limited manages Operational Risk at the legal entity level. </w:t>
      </w:r>
    </w:p>
    <w:p w14:paraId="084C701E" w14:textId="77777777" w:rsidR="00E00A20" w:rsidRPr="00F866F6" w:rsidRDefault="00E00A20" w:rsidP="00E00A20">
      <w:pPr>
        <w:ind w:left="360"/>
        <w:rPr>
          <w:rFonts w:ascii="Arial" w:hAnsi="Arial" w:cs="Arial"/>
          <w:sz w:val="20"/>
          <w:szCs w:val="20"/>
        </w:rPr>
      </w:pPr>
    </w:p>
    <w:p w14:paraId="7775D76E" w14:textId="77777777" w:rsidR="00E00A20" w:rsidRPr="00F866F6" w:rsidRDefault="00E00A20" w:rsidP="00E00A20">
      <w:pPr>
        <w:ind w:left="360"/>
        <w:rPr>
          <w:rFonts w:ascii="Arial" w:hAnsi="Arial" w:cs="Arial"/>
          <w:b/>
          <w:sz w:val="20"/>
          <w:szCs w:val="20"/>
        </w:rPr>
      </w:pPr>
      <w:r w:rsidRPr="00F866F6">
        <w:rPr>
          <w:rFonts w:ascii="Arial" w:hAnsi="Arial" w:cs="Arial"/>
          <w:b/>
          <w:sz w:val="20"/>
          <w:szCs w:val="20"/>
        </w:rPr>
        <w:t>Material Operational Risks (MORs)</w:t>
      </w:r>
    </w:p>
    <w:p w14:paraId="7ED6A16D"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ORM’s definition of Material Risks aligns with that of ERMF. Qualitative and quantitative criteria are considerations when determining if a risk is material. Criteria such as Historical Operational Risk Event Effects (internal or external) as well as risks based on expert judgement. </w:t>
      </w:r>
    </w:p>
    <w:p w14:paraId="0AFBC637" w14:textId="77777777" w:rsidR="00E00A20" w:rsidRPr="00F866F6" w:rsidRDefault="00E00A20" w:rsidP="00E00A20">
      <w:pPr>
        <w:ind w:left="360"/>
        <w:rPr>
          <w:rFonts w:ascii="Arial" w:hAnsi="Arial" w:cs="Arial"/>
          <w:sz w:val="20"/>
          <w:szCs w:val="20"/>
        </w:rPr>
      </w:pPr>
    </w:p>
    <w:p w14:paraId="77EFE9F1" w14:textId="77777777" w:rsidR="00E00A20" w:rsidRPr="00F866F6" w:rsidRDefault="00E00A20" w:rsidP="00E00A20">
      <w:pPr>
        <w:ind w:left="360"/>
        <w:rPr>
          <w:rFonts w:ascii="Arial" w:hAnsi="Arial" w:cs="Arial"/>
          <w:b/>
          <w:bCs/>
          <w:iCs/>
          <w:sz w:val="20"/>
          <w:szCs w:val="20"/>
        </w:rPr>
      </w:pPr>
      <w:r w:rsidRPr="00F866F6">
        <w:rPr>
          <w:rFonts w:ascii="Arial" w:hAnsi="Arial" w:cs="Arial"/>
          <w:b/>
          <w:bCs/>
          <w:iCs/>
          <w:sz w:val="20"/>
          <w:szCs w:val="20"/>
        </w:rPr>
        <w:t>Manager’s Control Assessment (“MCA”)</w:t>
      </w:r>
    </w:p>
    <w:p w14:paraId="49EECB12"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The MCA program, documented in the Operational Risk Identification, Measurement, Monitoring and Mitigation Standard, is a comprehensive self-assessment program, with methodology and tools to allow management to conduct risk and control identification, assessment and monitoring and residual risk management.</w:t>
      </w:r>
    </w:p>
    <w:p w14:paraId="68F14994"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Businesses and Functions have processes in place to self-identify, assess, monitor, and mitigate operational risks, following MCA methodology. Further details can be found in the MCA Standard.</w:t>
      </w:r>
    </w:p>
    <w:p w14:paraId="0BA09D04" w14:textId="77777777" w:rsidR="00E00A20" w:rsidRPr="00F866F6" w:rsidRDefault="00E00A20" w:rsidP="00E00A20">
      <w:pPr>
        <w:rPr>
          <w:rFonts w:ascii="Arial" w:hAnsi="Arial" w:cs="Arial"/>
          <w:sz w:val="20"/>
          <w:szCs w:val="20"/>
        </w:rPr>
      </w:pPr>
    </w:p>
    <w:p w14:paraId="2BB46BA9" w14:textId="77777777" w:rsidR="00E00A20" w:rsidRPr="00F866F6" w:rsidRDefault="00E00A20" w:rsidP="007D0EB4">
      <w:pPr>
        <w:pStyle w:val="Heading4"/>
        <w:numPr>
          <w:ilvl w:val="0"/>
          <w:numId w:val="33"/>
        </w:numPr>
        <w:ind w:left="1440" w:hanging="1080"/>
        <w:rPr>
          <w:rFonts w:ascii="Arial" w:hAnsi="Arial" w:cs="Arial"/>
          <w:i w:val="0"/>
          <w:iCs w:val="0"/>
          <w:color w:val="auto"/>
        </w:rPr>
      </w:pPr>
      <w:r w:rsidRPr="00F866F6">
        <w:rPr>
          <w:rFonts w:ascii="Arial" w:hAnsi="Arial" w:cs="Arial"/>
          <w:i w:val="0"/>
          <w:iCs w:val="0"/>
          <w:color w:val="auto"/>
        </w:rPr>
        <w:t>Risk Measurement</w:t>
      </w:r>
    </w:p>
    <w:p w14:paraId="4392F7A1"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The Operational Risk Identification, Measurement, Monitoring and Mitigation Standard defines what estimation and aggregation methodologies is applied to determine the likelihood of materialization of Operational Risk exposures, and the resulting impact (potential or materialized), and includes but is not limited to requirements around the utilization of metrics, monitoring methodologies and other methodologies.</w:t>
      </w:r>
    </w:p>
    <w:p w14:paraId="7832AF08"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Citibank Uganda Limited follows the Operational Risk Identification, Measurement, Monitoring and Mitigation Standard in estimating and aggregating the Operational Risks it is exposed to.</w:t>
      </w:r>
    </w:p>
    <w:p w14:paraId="4B71B40D" w14:textId="77777777" w:rsidR="00E00A20" w:rsidRPr="00F866F6" w:rsidRDefault="00E00A20" w:rsidP="00E00A20">
      <w:pPr>
        <w:ind w:left="360"/>
        <w:rPr>
          <w:rFonts w:ascii="Arial" w:hAnsi="Arial" w:cs="Arial"/>
          <w:sz w:val="20"/>
          <w:szCs w:val="20"/>
        </w:rPr>
      </w:pPr>
      <w:bookmarkStart w:id="105" w:name="_Hlk135313900"/>
      <w:r w:rsidRPr="00F866F6">
        <w:rPr>
          <w:rFonts w:ascii="Arial" w:hAnsi="Arial" w:cs="Arial"/>
          <w:sz w:val="20"/>
          <w:szCs w:val="20"/>
        </w:rPr>
        <w:t>Citibank Uganda Limited has adopted the Standardised for calculating the Pillar 1 regulatory capital requirement for Operational Risk, in line with the regulatory requirement, as documented in the ICAAP. </w:t>
      </w:r>
    </w:p>
    <w:bookmarkEnd w:id="105"/>
    <w:p w14:paraId="64153129" w14:textId="77777777" w:rsidR="00E00A20" w:rsidRPr="00F866F6" w:rsidRDefault="00E00A20" w:rsidP="00E00A20">
      <w:pPr>
        <w:rPr>
          <w:rFonts w:ascii="Arial" w:hAnsi="Arial" w:cs="Arial"/>
          <w:sz w:val="20"/>
          <w:szCs w:val="20"/>
        </w:rPr>
      </w:pPr>
    </w:p>
    <w:p w14:paraId="1C0BD4F4" w14:textId="77777777" w:rsidR="00E00A20" w:rsidRPr="00F866F6" w:rsidRDefault="00E00A20" w:rsidP="007D0EB4">
      <w:pPr>
        <w:pStyle w:val="Heading4"/>
        <w:numPr>
          <w:ilvl w:val="0"/>
          <w:numId w:val="33"/>
        </w:numPr>
        <w:ind w:left="1440" w:hanging="1080"/>
        <w:rPr>
          <w:rFonts w:ascii="Arial" w:hAnsi="Arial" w:cs="Arial"/>
          <w:i w:val="0"/>
          <w:iCs w:val="0"/>
          <w:color w:val="auto"/>
        </w:rPr>
      </w:pPr>
      <w:r w:rsidRPr="00F866F6">
        <w:rPr>
          <w:rFonts w:ascii="Arial" w:hAnsi="Arial" w:cs="Arial"/>
          <w:i w:val="0"/>
          <w:iCs w:val="0"/>
          <w:color w:val="auto"/>
        </w:rPr>
        <w:t>Risk Monitoring</w:t>
      </w:r>
    </w:p>
    <w:p w14:paraId="0CF54D11"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Businesses and Functions monitor and report the Operational Risk exposures to CCC and Board Risk Committee on a quarterly basis at a minimum. Further detail can be found in the ORM Policy and Standards.</w:t>
      </w:r>
    </w:p>
    <w:p w14:paraId="399A3009"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The Operational Risk is monitored through various risk metrics, analysis of exposures including but not limited to the consideration of exposure rate of change, internal and external events/ factors / loss data, and analysis, MCAs, risks stemming from new business activities.  </w:t>
      </w:r>
    </w:p>
    <w:p w14:paraId="6B319F36"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Citibank Uganda Limited monitors its Operational Risk Exposure, based on the methodologies as defined in the ORM Policy and Standards.</w:t>
      </w:r>
    </w:p>
    <w:p w14:paraId="69B5C191" w14:textId="77777777" w:rsidR="00E00A20" w:rsidRPr="00F866F6" w:rsidRDefault="00E00A20" w:rsidP="00E00A20">
      <w:pPr>
        <w:rPr>
          <w:rFonts w:ascii="Arial" w:hAnsi="Arial" w:cs="Arial"/>
          <w:sz w:val="20"/>
          <w:szCs w:val="20"/>
        </w:rPr>
      </w:pPr>
    </w:p>
    <w:p w14:paraId="7CCFC7B1" w14:textId="77777777" w:rsidR="00E00A20" w:rsidRPr="00F866F6" w:rsidRDefault="00E00A20" w:rsidP="007D0EB4">
      <w:pPr>
        <w:pStyle w:val="Heading4"/>
        <w:numPr>
          <w:ilvl w:val="0"/>
          <w:numId w:val="33"/>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Control</w:t>
      </w:r>
    </w:p>
    <w:p w14:paraId="4A2CC058"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Businesses and Functions have processes in place that allow them to bring Operational Risk exposures within acceptable levels as determined by the Operational Risk Appetite Framework as per the Operational Risk Management Policy.</w:t>
      </w:r>
    </w:p>
    <w:p w14:paraId="31DBD14D"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Citibank Uganda Limited’s Operational Risk Appetite is monitored and reported to the CCC and Board Risk Committee atleast quarterly.</w:t>
      </w:r>
    </w:p>
    <w:p w14:paraId="58F94EF0"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The First Line of Defense is responsible for implementing and maintaining effective controls to reduce the Operational Risks they are exposed to within Operational Risk appetite in accordance with the requirements of the Operational Risk Management Policy. The second line of defense provides credible challenge to the first line implementation of Operational Risk Management Policy and Standards. </w:t>
      </w:r>
    </w:p>
    <w:p w14:paraId="6F563077"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Citibank Uganda Limited implements necessary controls in the entity management process, as required to manage risk to an acceptable level, and review the effectiveness of key controls implemented by the businesses operating in the entity. </w:t>
      </w:r>
    </w:p>
    <w:p w14:paraId="588E38EB" w14:textId="77777777" w:rsidR="00E00A20" w:rsidRPr="00F866F6" w:rsidRDefault="00E00A20" w:rsidP="00E00A20">
      <w:pPr>
        <w:ind w:left="360"/>
        <w:rPr>
          <w:rFonts w:ascii="Arial" w:hAnsi="Arial" w:cs="Arial"/>
          <w:sz w:val="20"/>
          <w:szCs w:val="20"/>
        </w:rPr>
      </w:pPr>
    </w:p>
    <w:p w14:paraId="632A7A97" w14:textId="77777777" w:rsidR="00E00A20" w:rsidRPr="00F866F6" w:rsidRDefault="00E00A20" w:rsidP="00E00A20">
      <w:pPr>
        <w:ind w:left="360"/>
        <w:rPr>
          <w:rFonts w:ascii="Arial" w:hAnsi="Arial" w:cs="Arial"/>
          <w:b/>
          <w:sz w:val="20"/>
          <w:szCs w:val="20"/>
        </w:rPr>
      </w:pPr>
      <w:r w:rsidRPr="00F866F6">
        <w:rPr>
          <w:rFonts w:ascii="Arial" w:hAnsi="Arial" w:cs="Arial"/>
          <w:b/>
          <w:sz w:val="20"/>
          <w:szCs w:val="20"/>
        </w:rPr>
        <w:t xml:space="preserve">Escalation </w:t>
      </w:r>
    </w:p>
    <w:p w14:paraId="6FADF048"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A critical element of active Operational Risk management is proactive anticipation of Operational Risk and related events to support timely escalation and mitigation.</w:t>
      </w:r>
    </w:p>
    <w:p w14:paraId="7EE7FCE7"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The Operational Risk Events Escalation, Management, Capture and Lessons</w:t>
      </w:r>
      <w:r w:rsidRPr="00F866F6">
        <w:rPr>
          <w:rFonts w:ascii="Arial" w:hAnsi="Arial" w:cs="Arial"/>
          <w:iCs/>
          <w:sz w:val="20"/>
          <w:szCs w:val="20"/>
        </w:rPr>
        <w:t xml:space="preserve"> </w:t>
      </w:r>
      <w:r w:rsidRPr="00F866F6">
        <w:rPr>
          <w:rFonts w:ascii="Arial" w:hAnsi="Arial" w:cs="Arial"/>
          <w:sz w:val="20"/>
          <w:szCs w:val="20"/>
        </w:rPr>
        <w:t xml:space="preserve">Learned Standard in line with Citi’s </w:t>
      </w:r>
      <w:hyperlink r:id="rId23" w:history="1">
        <w:r w:rsidRPr="00F866F6">
          <w:rPr>
            <w:rStyle w:val="Hyperlink"/>
            <w:rFonts w:ascii="Arial" w:hAnsi="Arial" w:cs="Arial"/>
            <w:color w:val="auto"/>
            <w:sz w:val="20"/>
            <w:szCs w:val="20"/>
          </w:rPr>
          <w:t>Escalation Policy</w:t>
        </w:r>
      </w:hyperlink>
      <w:r w:rsidRPr="00F866F6">
        <w:rPr>
          <w:rFonts w:ascii="Arial" w:hAnsi="Arial" w:cs="Arial"/>
          <w:sz w:val="20"/>
          <w:szCs w:val="20"/>
        </w:rPr>
        <w:t xml:space="preserve"> defines</w:t>
      </w:r>
      <w:r w:rsidRPr="00F866F6">
        <w:rPr>
          <w:rFonts w:ascii="Arial" w:hAnsi="Arial" w:cs="Arial"/>
          <w:iCs/>
          <w:sz w:val="20"/>
          <w:szCs w:val="20"/>
        </w:rPr>
        <w:t xml:space="preserve"> w</w:t>
      </w:r>
      <w:r w:rsidRPr="00F866F6">
        <w:rPr>
          <w:rFonts w:ascii="Arial" w:hAnsi="Arial" w:cs="Arial"/>
          <w:sz w:val="20"/>
          <w:szCs w:val="20"/>
        </w:rPr>
        <w:t>hat Operational Risk events are escalated to whom within what</w:t>
      </w:r>
      <w:r w:rsidRPr="00F866F6">
        <w:rPr>
          <w:rFonts w:ascii="Arial" w:hAnsi="Arial" w:cs="Arial"/>
          <w:iCs/>
          <w:sz w:val="20"/>
          <w:szCs w:val="20"/>
        </w:rPr>
        <w:t xml:space="preserve"> </w:t>
      </w:r>
      <w:r w:rsidRPr="00F866F6">
        <w:rPr>
          <w:rFonts w:ascii="Arial" w:hAnsi="Arial" w:cs="Arial"/>
          <w:sz w:val="20"/>
          <w:szCs w:val="20"/>
        </w:rPr>
        <w:t>timeframe</w:t>
      </w:r>
      <w:r w:rsidRPr="00F866F6">
        <w:rPr>
          <w:rFonts w:ascii="Arial" w:hAnsi="Arial" w:cs="Arial"/>
          <w:iCs/>
          <w:sz w:val="20"/>
          <w:szCs w:val="20"/>
        </w:rPr>
        <w:t xml:space="preserve"> and w</w:t>
      </w:r>
      <w:r w:rsidRPr="00F866F6">
        <w:rPr>
          <w:rFonts w:ascii="Arial" w:hAnsi="Arial" w:cs="Arial"/>
          <w:sz w:val="20"/>
          <w:szCs w:val="20"/>
        </w:rPr>
        <w:t>hat processes Businesses and Functions have in place that make sure</w:t>
      </w:r>
      <w:r w:rsidRPr="00F866F6">
        <w:rPr>
          <w:rFonts w:ascii="Arial" w:hAnsi="Arial" w:cs="Arial"/>
          <w:iCs/>
          <w:sz w:val="20"/>
          <w:szCs w:val="20"/>
        </w:rPr>
        <w:t xml:space="preserve"> </w:t>
      </w:r>
      <w:r w:rsidRPr="00F866F6">
        <w:rPr>
          <w:rFonts w:ascii="Arial" w:hAnsi="Arial" w:cs="Arial"/>
          <w:sz w:val="20"/>
          <w:szCs w:val="20"/>
        </w:rPr>
        <w:t>that impact is avoided or reduced while an Operational Risk event unfolds,</w:t>
      </w:r>
      <w:r w:rsidRPr="00F866F6">
        <w:rPr>
          <w:rFonts w:ascii="Arial" w:hAnsi="Arial" w:cs="Arial"/>
          <w:iCs/>
          <w:sz w:val="20"/>
          <w:szCs w:val="20"/>
        </w:rPr>
        <w:t xml:space="preserve"> </w:t>
      </w:r>
      <w:r w:rsidRPr="00F866F6">
        <w:rPr>
          <w:rFonts w:ascii="Arial" w:hAnsi="Arial" w:cs="Arial"/>
          <w:sz w:val="20"/>
          <w:szCs w:val="20"/>
        </w:rPr>
        <w:t>allowing for specialized treatment and day-to-day management of frequently occurring Operational Risk events.</w:t>
      </w:r>
    </w:p>
    <w:p w14:paraId="24DE28C6"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Citibank Uganda Limited employees are required to escalate concerns in accordance with Citi’s </w:t>
      </w:r>
      <w:hyperlink r:id="rId24" w:history="1">
        <w:r w:rsidRPr="00F866F6">
          <w:rPr>
            <w:rStyle w:val="Hyperlink"/>
            <w:rFonts w:ascii="Arial" w:hAnsi="Arial" w:cs="Arial"/>
            <w:color w:val="auto"/>
            <w:sz w:val="20"/>
            <w:szCs w:val="20"/>
          </w:rPr>
          <w:t>Escalation Policy</w:t>
        </w:r>
      </w:hyperlink>
      <w:r w:rsidRPr="00F866F6">
        <w:rPr>
          <w:rFonts w:ascii="Arial" w:hAnsi="Arial" w:cs="Arial"/>
          <w:sz w:val="20"/>
          <w:szCs w:val="20"/>
        </w:rPr>
        <w:t>.</w:t>
      </w:r>
    </w:p>
    <w:p w14:paraId="79CEFB55" w14:textId="77777777" w:rsidR="00E00A20" w:rsidRPr="00F866F6" w:rsidRDefault="00E00A20" w:rsidP="00E00A20">
      <w:pPr>
        <w:rPr>
          <w:rFonts w:ascii="Arial" w:hAnsi="Arial" w:cs="Arial"/>
          <w:sz w:val="20"/>
          <w:szCs w:val="20"/>
        </w:rPr>
      </w:pPr>
    </w:p>
    <w:p w14:paraId="148CF00E" w14:textId="77777777" w:rsidR="00E00A20" w:rsidRPr="00F866F6" w:rsidRDefault="00E00A20" w:rsidP="007D0EB4">
      <w:pPr>
        <w:pStyle w:val="Heading4"/>
        <w:numPr>
          <w:ilvl w:val="0"/>
          <w:numId w:val="33"/>
        </w:numPr>
        <w:ind w:left="1440" w:hanging="1080"/>
        <w:rPr>
          <w:rFonts w:ascii="Arial" w:hAnsi="Arial" w:cs="Arial"/>
          <w:color w:val="auto"/>
        </w:rPr>
      </w:pPr>
      <w:r w:rsidRPr="00F866F6">
        <w:rPr>
          <w:rFonts w:ascii="Arial" w:hAnsi="Arial" w:cs="Arial"/>
          <w:i w:val="0"/>
          <w:color w:val="auto"/>
        </w:rPr>
        <w:t>Reporting</w:t>
      </w:r>
    </w:p>
    <w:p w14:paraId="7DE20C71"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Operational risk reports are produced at the global, managed segment and managed geographies level. This provides senior management with the relevant aggregated Operational Risk information </w:t>
      </w:r>
      <w:proofErr w:type="gramStart"/>
      <w:r w:rsidRPr="00F866F6">
        <w:rPr>
          <w:rFonts w:ascii="Arial" w:hAnsi="Arial" w:cs="Arial"/>
          <w:sz w:val="20"/>
          <w:szCs w:val="20"/>
        </w:rPr>
        <w:t>in order to</w:t>
      </w:r>
      <w:proofErr w:type="gramEnd"/>
      <w:r w:rsidRPr="00F866F6">
        <w:rPr>
          <w:rFonts w:ascii="Arial" w:hAnsi="Arial" w:cs="Arial"/>
          <w:sz w:val="20"/>
          <w:szCs w:val="20"/>
        </w:rPr>
        <w:t xml:space="preserve"> inform their risk decisions at all levels of governance.</w:t>
      </w:r>
    </w:p>
    <w:p w14:paraId="64045691"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Citibank Uganda Limited produces Operational Risk reports at a Legal Entity level that are reported to CCC and Board Risk Committee on a quarterly basis.</w:t>
      </w:r>
    </w:p>
    <w:p w14:paraId="1579DAE9" w14:textId="77777777" w:rsidR="00E00A20" w:rsidRPr="00F866F6" w:rsidRDefault="00E00A20" w:rsidP="00E00A20">
      <w:pPr>
        <w:spacing w:before="0" w:after="160" w:line="259" w:lineRule="auto"/>
        <w:ind w:left="360"/>
        <w:rPr>
          <w:rFonts w:ascii="Arial" w:hAnsi="Arial" w:cs="Arial"/>
          <w:sz w:val="20"/>
          <w:szCs w:val="20"/>
        </w:rPr>
      </w:pPr>
    </w:p>
    <w:p w14:paraId="7ECFD523" w14:textId="77777777" w:rsidR="00E00A20" w:rsidRPr="00F866F6" w:rsidRDefault="00E00A20" w:rsidP="007D0EB4">
      <w:pPr>
        <w:pStyle w:val="Heading3"/>
        <w:numPr>
          <w:ilvl w:val="2"/>
          <w:numId w:val="22"/>
        </w:numPr>
        <w:ind w:hanging="720"/>
        <w:rPr>
          <w:rFonts w:ascii="Arial" w:hAnsi="Arial" w:cs="Arial"/>
          <w:color w:val="auto"/>
        </w:rPr>
      </w:pPr>
      <w:bookmarkStart w:id="106" w:name="_Toc130808492"/>
      <w:bookmarkStart w:id="107" w:name="_Toc135136723"/>
      <w:r w:rsidRPr="00F866F6">
        <w:rPr>
          <w:rFonts w:ascii="Arial" w:hAnsi="Arial" w:cs="Arial"/>
          <w:color w:val="auto"/>
        </w:rPr>
        <w:t>Risk Lifecycle of Compliance Risk</w:t>
      </w:r>
      <w:bookmarkEnd w:id="106"/>
      <w:bookmarkEnd w:id="107"/>
      <w:r w:rsidRPr="00F866F6">
        <w:rPr>
          <w:rFonts w:ascii="Arial" w:hAnsi="Arial" w:cs="Arial"/>
          <w:color w:val="auto"/>
        </w:rPr>
        <w:t xml:space="preserve"> </w:t>
      </w:r>
    </w:p>
    <w:p w14:paraId="06309E46" w14:textId="77777777" w:rsidR="00E00A20" w:rsidRPr="00F866F6" w:rsidRDefault="00E00A20" w:rsidP="00E00A20">
      <w:pPr>
        <w:rPr>
          <w:rFonts w:ascii="Arial" w:hAnsi="Arial" w:cs="Arial"/>
          <w:sz w:val="20"/>
          <w:szCs w:val="20"/>
        </w:rPr>
      </w:pPr>
      <w:bookmarkStart w:id="108" w:name="_Hlk162711451"/>
      <w:r w:rsidRPr="00F866F6">
        <w:rPr>
          <w:rFonts w:ascii="Arial" w:hAnsi="Arial" w:cs="Arial"/>
          <w:sz w:val="20"/>
          <w:szCs w:val="20"/>
        </w:rPr>
        <w:t xml:space="preserve">The key Citi policy that governs the Compliance Risk management processes to identify, measure, monitor, control, and report Compliance Risk is Compliance Risk Management Policy (“CRMP”). </w:t>
      </w:r>
      <w:bookmarkEnd w:id="108"/>
      <w:r w:rsidRPr="00F866F6">
        <w:rPr>
          <w:rFonts w:ascii="Arial" w:hAnsi="Arial" w:cs="Arial"/>
          <w:sz w:val="20"/>
          <w:szCs w:val="20"/>
        </w:rPr>
        <w:t>This is designed to achieve standardisation for consistent and comprehensive execution of Compliance Risk Management, which includes adherence with LRRs, Citi’s policies, and procedures across the three Lines of Defense. Management of Compliance Risk, governed by Citi’s CRMP, is the responsibility of all Citi employees.</w:t>
      </w:r>
    </w:p>
    <w:p w14:paraId="12348EF7" w14:textId="77777777" w:rsidR="00E00A20" w:rsidRPr="00F866F6" w:rsidRDefault="00E00A20" w:rsidP="00E00A20">
      <w:pPr>
        <w:rPr>
          <w:rFonts w:ascii="Arial" w:hAnsi="Arial" w:cs="Arial"/>
          <w:sz w:val="20"/>
          <w:szCs w:val="20"/>
        </w:rPr>
      </w:pPr>
      <w:r w:rsidRPr="00F866F6">
        <w:rPr>
          <w:rFonts w:ascii="Arial" w:hAnsi="Arial" w:cs="Arial"/>
          <w:sz w:val="20"/>
          <w:szCs w:val="20"/>
        </w:rPr>
        <w:t xml:space="preserve">Defined in the CRMP, the Compliance Risk Management Framework (“CRMF”) details the processes and enablers that promote the identification, measurement, monitoring, controlling, and reporting of Compliance Risk. The CRMF supports the ERMF and the CBNA Risk Governance Framework through its focus on the management of Compliance Risk enterprise wide. The CRMF comprises of the following Pillars which enable Citibank Uganda to holistically manage its Compliance Risks: </w:t>
      </w:r>
    </w:p>
    <w:p w14:paraId="055D61AA" w14:textId="77777777" w:rsidR="00E00A20" w:rsidRPr="00F866F6" w:rsidRDefault="00E00A20" w:rsidP="007D0EB4">
      <w:pPr>
        <w:pStyle w:val="ListParagraph"/>
        <w:numPr>
          <w:ilvl w:val="0"/>
          <w:numId w:val="8"/>
        </w:numPr>
        <w:rPr>
          <w:rFonts w:ascii="Arial" w:hAnsi="Arial" w:cs="Arial"/>
          <w:sz w:val="20"/>
          <w:szCs w:val="20"/>
        </w:rPr>
      </w:pPr>
      <w:r w:rsidRPr="00F866F6">
        <w:rPr>
          <w:rFonts w:ascii="Arial" w:hAnsi="Arial" w:cs="Arial"/>
          <w:sz w:val="20"/>
          <w:szCs w:val="20"/>
        </w:rPr>
        <w:t>Pillar 1: Awareness</w:t>
      </w:r>
    </w:p>
    <w:p w14:paraId="6A78789E" w14:textId="77777777" w:rsidR="00E00A20" w:rsidRPr="00F866F6" w:rsidRDefault="00E00A20" w:rsidP="007D0EB4">
      <w:pPr>
        <w:pStyle w:val="ListParagraph"/>
        <w:numPr>
          <w:ilvl w:val="0"/>
          <w:numId w:val="8"/>
        </w:numPr>
        <w:rPr>
          <w:rFonts w:ascii="Arial" w:hAnsi="Arial" w:cs="Arial"/>
          <w:sz w:val="20"/>
          <w:szCs w:val="20"/>
        </w:rPr>
      </w:pPr>
      <w:r w:rsidRPr="00F866F6">
        <w:rPr>
          <w:rFonts w:ascii="Arial" w:hAnsi="Arial" w:cs="Arial"/>
          <w:sz w:val="20"/>
          <w:szCs w:val="20"/>
        </w:rPr>
        <w:t>Pillar 2: Assessment</w:t>
      </w:r>
    </w:p>
    <w:p w14:paraId="2AB838A4" w14:textId="77777777" w:rsidR="00E00A20" w:rsidRPr="00F866F6" w:rsidRDefault="00E00A20" w:rsidP="007D0EB4">
      <w:pPr>
        <w:pStyle w:val="ListParagraph"/>
        <w:numPr>
          <w:ilvl w:val="0"/>
          <w:numId w:val="8"/>
        </w:numPr>
        <w:rPr>
          <w:rFonts w:ascii="Arial" w:hAnsi="Arial" w:cs="Arial"/>
          <w:sz w:val="20"/>
          <w:szCs w:val="20"/>
        </w:rPr>
      </w:pPr>
      <w:r w:rsidRPr="00F866F6">
        <w:rPr>
          <w:rFonts w:ascii="Arial" w:hAnsi="Arial" w:cs="Arial"/>
          <w:sz w:val="20"/>
          <w:szCs w:val="20"/>
        </w:rPr>
        <w:t>Pillar 3: Action</w:t>
      </w:r>
    </w:p>
    <w:p w14:paraId="7861ACFD" w14:textId="77777777" w:rsidR="00E00A20" w:rsidRPr="00F866F6" w:rsidRDefault="00E00A20" w:rsidP="00E00A20">
      <w:pPr>
        <w:rPr>
          <w:rFonts w:ascii="Arial" w:hAnsi="Arial" w:cs="Arial"/>
          <w:sz w:val="20"/>
          <w:szCs w:val="20"/>
        </w:rPr>
      </w:pPr>
      <w:r w:rsidRPr="00F866F6">
        <w:rPr>
          <w:rFonts w:ascii="Arial" w:hAnsi="Arial" w:cs="Arial"/>
          <w:sz w:val="20"/>
          <w:szCs w:val="20"/>
        </w:rPr>
        <w:t xml:space="preserve">Each of these Pillars is underpinned by Integrated Core Processes and Controls that enables Citibank Uganda to drive comprehensive Compliance Risk management. </w:t>
      </w:r>
    </w:p>
    <w:p w14:paraId="563655B4" w14:textId="77777777" w:rsidR="00E00A20" w:rsidRPr="00F866F6" w:rsidRDefault="00E00A20" w:rsidP="00E00A20">
      <w:pPr>
        <w:rPr>
          <w:rFonts w:ascii="Arial" w:hAnsi="Arial" w:cs="Arial"/>
          <w:sz w:val="20"/>
          <w:szCs w:val="20"/>
        </w:rPr>
      </w:pPr>
      <w:r w:rsidRPr="00F866F6">
        <w:rPr>
          <w:rFonts w:ascii="Arial" w:hAnsi="Arial" w:cs="Arial"/>
          <w:sz w:val="20"/>
          <w:szCs w:val="20"/>
        </w:rPr>
        <w:t>In addition to the processes across the three Pillars, the following Compliance Risk management activities further support Citi’s ability to comprehensively and effectively manage Compliance Risks:</w:t>
      </w:r>
    </w:p>
    <w:p w14:paraId="7D82B487" w14:textId="77777777" w:rsidR="00E00A20" w:rsidRPr="00F866F6" w:rsidRDefault="00E00A20" w:rsidP="007D0EB4">
      <w:pPr>
        <w:pStyle w:val="ListParagraph"/>
        <w:numPr>
          <w:ilvl w:val="0"/>
          <w:numId w:val="9"/>
        </w:numPr>
        <w:rPr>
          <w:rFonts w:ascii="Arial" w:hAnsi="Arial" w:cs="Arial"/>
          <w:sz w:val="20"/>
          <w:szCs w:val="20"/>
        </w:rPr>
      </w:pPr>
      <w:r w:rsidRPr="00F866F6">
        <w:rPr>
          <w:rFonts w:ascii="Arial" w:hAnsi="Arial" w:cs="Arial"/>
          <w:sz w:val="20"/>
          <w:szCs w:val="20"/>
        </w:rPr>
        <w:t>Technology, Data and Analytics</w:t>
      </w:r>
    </w:p>
    <w:p w14:paraId="1A548C97" w14:textId="77777777" w:rsidR="00E00A20" w:rsidRPr="00F866F6" w:rsidRDefault="00E00A20" w:rsidP="007D0EB4">
      <w:pPr>
        <w:pStyle w:val="ListParagraph"/>
        <w:numPr>
          <w:ilvl w:val="0"/>
          <w:numId w:val="9"/>
        </w:numPr>
        <w:rPr>
          <w:rFonts w:ascii="Arial" w:hAnsi="Arial" w:cs="Arial"/>
          <w:sz w:val="20"/>
          <w:szCs w:val="20"/>
        </w:rPr>
      </w:pPr>
      <w:r w:rsidRPr="00F866F6">
        <w:rPr>
          <w:rFonts w:ascii="Arial" w:hAnsi="Arial" w:cs="Arial"/>
          <w:sz w:val="20"/>
          <w:szCs w:val="20"/>
        </w:rPr>
        <w:t>Roles and Responsibilities across the three lines of defence and support functions</w:t>
      </w:r>
    </w:p>
    <w:p w14:paraId="38A245E9" w14:textId="77777777" w:rsidR="00E00A20" w:rsidRPr="00F866F6" w:rsidRDefault="00E00A20" w:rsidP="007D0EB4">
      <w:pPr>
        <w:pStyle w:val="ListParagraph"/>
        <w:numPr>
          <w:ilvl w:val="0"/>
          <w:numId w:val="9"/>
        </w:numPr>
        <w:rPr>
          <w:rFonts w:ascii="Arial" w:hAnsi="Arial" w:cs="Arial"/>
          <w:sz w:val="20"/>
          <w:szCs w:val="20"/>
        </w:rPr>
      </w:pPr>
      <w:r w:rsidRPr="00F866F6">
        <w:rPr>
          <w:rFonts w:ascii="Arial" w:hAnsi="Arial" w:cs="Arial"/>
          <w:sz w:val="20"/>
          <w:szCs w:val="20"/>
        </w:rPr>
        <w:t>Talent Management</w:t>
      </w:r>
    </w:p>
    <w:p w14:paraId="4460D94E" w14:textId="77777777" w:rsidR="00E00A20" w:rsidRPr="00F866F6" w:rsidRDefault="00E00A20" w:rsidP="00E00A20"/>
    <w:p w14:paraId="527D611F" w14:textId="77777777" w:rsidR="00E00A20" w:rsidRPr="00F866F6" w:rsidRDefault="00E00A20" w:rsidP="007D0EB4">
      <w:pPr>
        <w:pStyle w:val="Heading4"/>
        <w:numPr>
          <w:ilvl w:val="0"/>
          <w:numId w:val="32"/>
        </w:numPr>
        <w:ind w:left="1440" w:hanging="1080"/>
        <w:rPr>
          <w:rFonts w:ascii="Arial" w:hAnsi="Arial" w:cs="Arial"/>
          <w:i w:val="0"/>
          <w:iCs w:val="0"/>
          <w:color w:val="auto"/>
        </w:rPr>
      </w:pPr>
      <w:r w:rsidRPr="00F866F6">
        <w:rPr>
          <w:rFonts w:ascii="Arial" w:hAnsi="Arial" w:cs="Arial"/>
          <w:i w:val="0"/>
          <w:iCs w:val="0"/>
          <w:color w:val="auto"/>
        </w:rPr>
        <w:t>Pillar 1:</w:t>
      </w:r>
      <w:r w:rsidRPr="00F866F6">
        <w:rPr>
          <w:rFonts w:ascii="Arial" w:hAnsi="Arial" w:cs="Arial"/>
          <w:i w:val="0"/>
          <w:iCs w:val="0"/>
          <w:color w:val="auto"/>
        </w:rPr>
        <w:tab/>
        <w:t>Awareness</w:t>
      </w:r>
    </w:p>
    <w:p w14:paraId="2F03CFA9"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 xml:space="preserve">Citibank Uganda Limited’s awareness of all applicable laws, </w:t>
      </w:r>
      <w:proofErr w:type="gramStart"/>
      <w:r w:rsidRPr="00F866F6">
        <w:rPr>
          <w:rFonts w:ascii="Arial" w:hAnsi="Arial" w:cs="Arial"/>
          <w:sz w:val="20"/>
          <w:szCs w:val="20"/>
        </w:rPr>
        <w:t>rules</w:t>
      </w:r>
      <w:proofErr w:type="gramEnd"/>
      <w:r w:rsidRPr="00F866F6">
        <w:rPr>
          <w:rFonts w:ascii="Arial" w:hAnsi="Arial" w:cs="Arial"/>
          <w:sz w:val="20"/>
          <w:szCs w:val="20"/>
        </w:rPr>
        <w:t xml:space="preserve"> and regulations (“LRRs”) and associated material compliance risks that impact Citi, its businesses and processes, is driven by Citi’s management of regulatory change and its inventory of LRRs in combination with processes, policies, procedures and training applicable to Citi and Citi’s Compliance Risk Appetite. The Awareness Processes are:</w:t>
      </w:r>
    </w:p>
    <w:p w14:paraId="4042415D" w14:textId="77777777" w:rsidR="00E00A20" w:rsidRPr="00F866F6" w:rsidRDefault="00E00A20" w:rsidP="007D0EB4">
      <w:pPr>
        <w:pStyle w:val="ListParagraph"/>
        <w:numPr>
          <w:ilvl w:val="0"/>
          <w:numId w:val="10"/>
        </w:numPr>
        <w:ind w:left="900" w:hanging="360"/>
        <w:rPr>
          <w:rFonts w:ascii="Arial" w:hAnsi="Arial" w:cs="Arial"/>
          <w:sz w:val="20"/>
          <w:szCs w:val="20"/>
        </w:rPr>
      </w:pPr>
      <w:r w:rsidRPr="00F866F6">
        <w:rPr>
          <w:rFonts w:ascii="Arial" w:hAnsi="Arial" w:cs="Arial"/>
          <w:b/>
          <w:bCs/>
          <w:sz w:val="20"/>
          <w:szCs w:val="20"/>
        </w:rPr>
        <w:t xml:space="preserve">Laws, </w:t>
      </w:r>
      <w:proofErr w:type="gramStart"/>
      <w:r w:rsidRPr="00F866F6">
        <w:rPr>
          <w:rFonts w:ascii="Arial" w:hAnsi="Arial" w:cs="Arial"/>
          <w:b/>
          <w:bCs/>
          <w:sz w:val="20"/>
          <w:szCs w:val="20"/>
        </w:rPr>
        <w:t>Rules</w:t>
      </w:r>
      <w:proofErr w:type="gramEnd"/>
      <w:r w:rsidRPr="00F866F6">
        <w:rPr>
          <w:rFonts w:ascii="Arial" w:hAnsi="Arial" w:cs="Arial"/>
          <w:b/>
          <w:bCs/>
          <w:sz w:val="20"/>
          <w:szCs w:val="20"/>
        </w:rPr>
        <w:t xml:space="preserve"> and Regulations Management</w:t>
      </w:r>
      <w:r w:rsidRPr="00F866F6">
        <w:rPr>
          <w:rFonts w:ascii="Arial" w:hAnsi="Arial" w:cs="Arial"/>
          <w:sz w:val="20"/>
          <w:szCs w:val="20"/>
        </w:rPr>
        <w:t>: Citi’s LRRs Management Process identifies the applicable LRRs across the geographies, maintains a centralized inventory of LRRs (“Regulatory Inventory”) and implements appropriate change management processes in response to new regulations or changes to regulations. Further details can be found in the Global Regulations Management Standard.</w:t>
      </w:r>
    </w:p>
    <w:p w14:paraId="48D264C0" w14:textId="77777777" w:rsidR="00E00A20" w:rsidRPr="00F866F6" w:rsidRDefault="00E00A20" w:rsidP="00E00A20">
      <w:pPr>
        <w:pStyle w:val="ListParagraph"/>
        <w:ind w:left="900"/>
        <w:rPr>
          <w:rFonts w:ascii="Arial" w:hAnsi="Arial" w:cs="Arial"/>
          <w:sz w:val="20"/>
          <w:szCs w:val="20"/>
        </w:rPr>
      </w:pPr>
    </w:p>
    <w:p w14:paraId="4A6FFD08" w14:textId="77777777" w:rsidR="00E00A20" w:rsidRPr="00F866F6" w:rsidRDefault="00E00A20" w:rsidP="007D0EB4">
      <w:pPr>
        <w:pStyle w:val="ListParagraph"/>
        <w:numPr>
          <w:ilvl w:val="0"/>
          <w:numId w:val="10"/>
        </w:numPr>
        <w:ind w:left="900" w:hanging="360"/>
        <w:rPr>
          <w:rFonts w:ascii="Arial" w:hAnsi="Arial" w:cs="Arial"/>
          <w:sz w:val="20"/>
          <w:szCs w:val="20"/>
        </w:rPr>
      </w:pPr>
      <w:r w:rsidRPr="00F866F6">
        <w:rPr>
          <w:rFonts w:ascii="Arial" w:hAnsi="Arial" w:cs="Arial"/>
          <w:b/>
          <w:bCs/>
          <w:sz w:val="20"/>
          <w:szCs w:val="20"/>
        </w:rPr>
        <w:t>Standards, Policies and Process Management</w:t>
      </w:r>
      <w:r w:rsidRPr="00F866F6">
        <w:rPr>
          <w:rFonts w:ascii="Arial" w:hAnsi="Arial" w:cs="Arial"/>
          <w:sz w:val="20"/>
          <w:szCs w:val="20"/>
        </w:rPr>
        <w:t>: Policy Documents (i.e., Policies, Standards, and Procedures) are used to guide staff on the management of LRRs and to set out the required roles and responsibilities relating to Compliance Risk across the three lines of defence. ICRM is responsible for establishing</w:t>
      </w:r>
      <w:r w:rsidRPr="00F866F6">
        <w:rPr>
          <w:rFonts w:ascii="Arial" w:hAnsi="Arial" w:cs="Arial"/>
          <w:sz w:val="20"/>
          <w:szCs w:val="20"/>
        </w:rPr>
        <w:tab/>
        <w:t xml:space="preserve">policy documents relating to Compliance Risk Management which are used by Citibank Uganda Limited staff on the management of LRRs. All Lines of Defence are responsible for adhering to these Policy Documents, creating control processes and procedures (as needed) to comply with these policies, and for monitoring and reporting breaches and exceptions to ICRM. </w:t>
      </w:r>
    </w:p>
    <w:p w14:paraId="454AE93B" w14:textId="77777777" w:rsidR="00E00A20" w:rsidRPr="00F866F6" w:rsidRDefault="00E00A20" w:rsidP="00E00A20">
      <w:pPr>
        <w:pStyle w:val="ListParagraph"/>
        <w:ind w:left="900"/>
        <w:rPr>
          <w:rFonts w:ascii="Arial" w:hAnsi="Arial" w:cs="Arial"/>
          <w:b/>
          <w:bCs/>
          <w:sz w:val="20"/>
          <w:szCs w:val="20"/>
        </w:rPr>
      </w:pPr>
    </w:p>
    <w:p w14:paraId="65E267A7" w14:textId="77777777" w:rsidR="00E00A20" w:rsidRPr="00F866F6" w:rsidRDefault="00E00A20" w:rsidP="007D0EB4">
      <w:pPr>
        <w:pStyle w:val="ListParagraph"/>
        <w:numPr>
          <w:ilvl w:val="0"/>
          <w:numId w:val="10"/>
        </w:numPr>
        <w:ind w:left="900" w:hanging="360"/>
        <w:rPr>
          <w:rFonts w:ascii="Arial" w:hAnsi="Arial" w:cs="Arial"/>
          <w:sz w:val="20"/>
          <w:szCs w:val="20"/>
        </w:rPr>
      </w:pPr>
      <w:r w:rsidRPr="00F866F6">
        <w:rPr>
          <w:rFonts w:ascii="Arial" w:hAnsi="Arial" w:cs="Arial"/>
          <w:b/>
          <w:bCs/>
          <w:sz w:val="20"/>
          <w:szCs w:val="20"/>
        </w:rPr>
        <w:t>Compliance Training</w:t>
      </w:r>
      <w:r w:rsidRPr="00F866F6">
        <w:rPr>
          <w:rFonts w:ascii="Arial" w:hAnsi="Arial" w:cs="Arial"/>
          <w:sz w:val="20"/>
          <w:szCs w:val="20"/>
        </w:rPr>
        <w:t>:</w:t>
      </w:r>
      <w:r>
        <w:rPr>
          <w:rFonts w:ascii="Arial" w:hAnsi="Arial" w:cs="Arial"/>
          <w:sz w:val="20"/>
          <w:szCs w:val="20"/>
        </w:rPr>
        <w:t xml:space="preserve"> </w:t>
      </w:r>
      <w:r w:rsidRPr="00F866F6">
        <w:rPr>
          <w:rFonts w:ascii="Arial" w:hAnsi="Arial" w:cs="Arial"/>
          <w:sz w:val="20"/>
          <w:szCs w:val="20"/>
        </w:rPr>
        <w:t>Compliance Training part of the Awareness Pillar is essential to the promotion of a strong culture of compliance and a fundamental element for mitigating Compliance Risk. All Citibank Uganda Limited staff must complete required Compliance Risk Management training in a timely manner as mandated. Further details can be found in the Global ICRM Training Standard.</w:t>
      </w:r>
    </w:p>
    <w:p w14:paraId="39AF6F19" w14:textId="77777777" w:rsidR="00E00A20" w:rsidRPr="00F866F6" w:rsidRDefault="00E00A20" w:rsidP="00E00A20">
      <w:pPr>
        <w:pStyle w:val="ListParagraph"/>
        <w:ind w:left="900"/>
        <w:rPr>
          <w:rFonts w:ascii="Arial" w:hAnsi="Arial" w:cs="Arial"/>
          <w:b/>
          <w:bCs/>
          <w:sz w:val="20"/>
          <w:szCs w:val="20"/>
        </w:rPr>
      </w:pPr>
    </w:p>
    <w:p w14:paraId="1A45EE79" w14:textId="77777777" w:rsidR="00E00A20" w:rsidRPr="00F866F6" w:rsidRDefault="00E00A20" w:rsidP="007D0EB4">
      <w:pPr>
        <w:pStyle w:val="ListParagraph"/>
        <w:numPr>
          <w:ilvl w:val="0"/>
          <w:numId w:val="10"/>
        </w:numPr>
        <w:ind w:left="900" w:hanging="360"/>
        <w:rPr>
          <w:rFonts w:ascii="Arial" w:hAnsi="Arial" w:cs="Arial"/>
          <w:sz w:val="20"/>
          <w:szCs w:val="20"/>
        </w:rPr>
      </w:pPr>
      <w:r w:rsidRPr="00F866F6">
        <w:rPr>
          <w:rFonts w:ascii="Arial" w:hAnsi="Arial" w:cs="Arial"/>
          <w:b/>
          <w:bCs/>
          <w:sz w:val="20"/>
          <w:szCs w:val="20"/>
        </w:rPr>
        <w:t>Risk Appetite for Compliance Risk</w:t>
      </w:r>
      <w:r w:rsidRPr="00F866F6">
        <w:rPr>
          <w:rFonts w:ascii="Arial" w:hAnsi="Arial" w:cs="Arial"/>
          <w:sz w:val="20"/>
          <w:szCs w:val="20"/>
        </w:rPr>
        <w:t>: Citi’s Risk Appetite for Compliance Risk guides behaviour across the Firm, helping to support a safe and sound Compliance Risk Management culture. Managing Compliance Risk exposure within Compliance Risk Appetite is supported through activities within the Assessment and Action Pillars. These Pillars support how the Firm uses its Compliance RAS to guide staff in their management of Compliance Risk.</w:t>
      </w:r>
      <w:r>
        <w:rPr>
          <w:rFonts w:ascii="Arial" w:hAnsi="Arial" w:cs="Arial"/>
          <w:sz w:val="20"/>
          <w:szCs w:val="20"/>
        </w:rPr>
        <w:t xml:space="preserve"> </w:t>
      </w:r>
      <w:r w:rsidRPr="00F866F6">
        <w:rPr>
          <w:rFonts w:ascii="Arial" w:hAnsi="Arial" w:cs="Arial"/>
          <w:sz w:val="20"/>
          <w:szCs w:val="20"/>
        </w:rPr>
        <w:t>Front-Line Units (FLUs) are responsible for identifying, measuring, monitoring, controlling, and reporting Compliance Risk to operate within Citi’s and CBNA’s Risk Appetite for Compliance Risk .Front-Line Units (or “FLUs”, described in the CRMP) uses(FLUs rely on Compliance Risk Appetite Risk Metrics and corresponding thresholds to identify, measure, monitor, and manage Compliance Risk exposures.)/ key indicators with accompanying thresholds for monitoring of Compliance Risk exposure against Compliance Risk Appetite.</w:t>
      </w:r>
      <w:r w:rsidRPr="00F866F6">
        <w:t xml:space="preserve"> </w:t>
      </w:r>
      <w:r w:rsidRPr="00F866F6">
        <w:rPr>
          <w:rFonts w:ascii="Arial" w:hAnsi="Arial" w:cs="Arial"/>
          <w:sz w:val="20"/>
          <w:szCs w:val="20"/>
        </w:rPr>
        <w:t xml:space="preserve">. FLUs are also responsible for conducting Compliance Risk Appetite assessments that incorporate both quantitative (e.g., Compliance Risk Appetite Risk Metrics) and qualitative factors (e.g., management overlay, business trends) On atleast quarterly basis, Citibank Uganda Limited performs a Compliance Risk Appetite assessment to determine if Citibank Uganda Limited is operating in or out of risk appetite and reports this to the CCC and the Board Risk Committee. </w:t>
      </w:r>
      <w:r w:rsidRPr="00F866F6">
        <w:rPr>
          <w:sz w:val="22"/>
          <w:szCs w:val="22"/>
        </w:rPr>
        <w:t>ICRM is responsible for reviewing and challenging Compliance Risk Appetite Assessments and attesting that the assessments were performed in accordance with requirements outlined in the Risk Appetite Standard.</w:t>
      </w:r>
    </w:p>
    <w:p w14:paraId="07DA4A03" w14:textId="77777777" w:rsidR="00E00A20" w:rsidRPr="00F866F6" w:rsidRDefault="00E00A20" w:rsidP="00E00A20">
      <w:pPr>
        <w:rPr>
          <w:rFonts w:ascii="Arial" w:hAnsi="Arial" w:cs="Arial"/>
          <w:sz w:val="20"/>
          <w:szCs w:val="20"/>
        </w:rPr>
      </w:pPr>
    </w:p>
    <w:p w14:paraId="5C561574" w14:textId="77777777" w:rsidR="00E00A20" w:rsidRPr="00F866F6" w:rsidRDefault="00E00A20" w:rsidP="007D0EB4">
      <w:pPr>
        <w:pStyle w:val="Heading4"/>
        <w:numPr>
          <w:ilvl w:val="0"/>
          <w:numId w:val="32"/>
        </w:numPr>
        <w:ind w:left="1440" w:hanging="1080"/>
        <w:rPr>
          <w:rFonts w:ascii="Arial" w:hAnsi="Arial" w:cs="Arial"/>
          <w:color w:val="auto"/>
        </w:rPr>
      </w:pPr>
      <w:r w:rsidRPr="00F866F6">
        <w:rPr>
          <w:rFonts w:ascii="Arial" w:hAnsi="Arial" w:cs="Arial"/>
          <w:i w:val="0"/>
          <w:color w:val="auto"/>
        </w:rPr>
        <w:t>Pillar 2:</w:t>
      </w:r>
      <w:r w:rsidRPr="00F866F6">
        <w:rPr>
          <w:rFonts w:ascii="Arial" w:hAnsi="Arial" w:cs="Arial"/>
          <w:i w:val="0"/>
          <w:color w:val="auto"/>
        </w:rPr>
        <w:tab/>
        <w:t>Assessment</w:t>
      </w:r>
    </w:p>
    <w:p w14:paraId="6D81DE1A"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Citibank Uganda Limited’s assessment of Compliance Risk enables management to identify, measure, monitor and control key compliance risks facing the Firm and drive management decisions to operate within the Citi’s Compliance Risk Appetite. The assessment of Compliance Risk is integrated with other Processes in the Assessment Pillar such that the outputs from one Process inform the actions/improvements in the others. The Assessment Processes are:</w:t>
      </w:r>
    </w:p>
    <w:p w14:paraId="2A3278EB" w14:textId="77777777" w:rsidR="00E00A20" w:rsidRPr="00F866F6" w:rsidRDefault="00E00A20" w:rsidP="007D0EB4">
      <w:pPr>
        <w:pStyle w:val="ListParagraph"/>
        <w:numPr>
          <w:ilvl w:val="0"/>
          <w:numId w:val="11"/>
        </w:numPr>
        <w:ind w:left="900"/>
        <w:rPr>
          <w:rFonts w:ascii="Arial" w:hAnsi="Arial" w:cs="Arial"/>
          <w:sz w:val="20"/>
          <w:szCs w:val="20"/>
        </w:rPr>
      </w:pPr>
      <w:r w:rsidRPr="00F866F6">
        <w:rPr>
          <w:rFonts w:ascii="Arial" w:hAnsi="Arial" w:cs="Arial"/>
          <w:b/>
          <w:bCs/>
          <w:sz w:val="20"/>
          <w:szCs w:val="20"/>
        </w:rPr>
        <w:t>Compliance Risk Identification</w:t>
      </w:r>
      <w:r w:rsidRPr="00F866F6">
        <w:rPr>
          <w:rFonts w:ascii="Arial" w:hAnsi="Arial" w:cs="Arial"/>
          <w:sz w:val="20"/>
          <w:szCs w:val="20"/>
        </w:rPr>
        <w:t>: As part of ICRM adherence to the Enterprise Risk Identification Policy, ICRM participates in in the identification of top and emerging risks. ICRM role in relation to Compliance Risk Identification is described in detail within ICRM Risk Identification Procedure and the Global Emerging Compliance Risk Standard.</w:t>
      </w:r>
      <w:r w:rsidRPr="00F866F6" w:rsidDel="0019573A">
        <w:rPr>
          <w:rFonts w:ascii="Arial" w:hAnsi="Arial" w:cs="Arial"/>
          <w:sz w:val="20"/>
          <w:szCs w:val="20"/>
        </w:rPr>
        <w:t xml:space="preserve"> </w:t>
      </w:r>
    </w:p>
    <w:p w14:paraId="6D559161" w14:textId="77777777" w:rsidR="00E00A20" w:rsidRPr="00F866F6" w:rsidRDefault="00E00A20" w:rsidP="00E00A20">
      <w:pPr>
        <w:pStyle w:val="ListParagraph"/>
        <w:ind w:left="900"/>
        <w:rPr>
          <w:rFonts w:ascii="Arial" w:hAnsi="Arial" w:cs="Arial"/>
          <w:sz w:val="20"/>
          <w:szCs w:val="20"/>
        </w:rPr>
      </w:pPr>
    </w:p>
    <w:p w14:paraId="06B7376B" w14:textId="77777777" w:rsidR="00E00A20" w:rsidRPr="00F866F6" w:rsidRDefault="00E00A20" w:rsidP="00E00A20">
      <w:pPr>
        <w:ind w:left="360"/>
        <w:rPr>
          <w:rFonts w:ascii="Arial" w:hAnsi="Arial" w:cs="Arial"/>
          <w:sz w:val="20"/>
          <w:szCs w:val="20"/>
        </w:rPr>
      </w:pPr>
    </w:p>
    <w:p w14:paraId="3DD5BD0B" w14:textId="77777777" w:rsidR="00E00A20" w:rsidRPr="00F866F6" w:rsidRDefault="00E00A20" w:rsidP="007D0EB4">
      <w:pPr>
        <w:pStyle w:val="ListParagraph"/>
        <w:numPr>
          <w:ilvl w:val="0"/>
          <w:numId w:val="11"/>
        </w:numPr>
        <w:ind w:left="900"/>
        <w:rPr>
          <w:rFonts w:ascii="Arial" w:hAnsi="Arial" w:cs="Arial"/>
          <w:sz w:val="20"/>
          <w:szCs w:val="20"/>
        </w:rPr>
      </w:pPr>
      <w:r w:rsidRPr="00F866F6">
        <w:rPr>
          <w:rFonts w:ascii="Arial" w:hAnsi="Arial" w:cs="Arial"/>
          <w:b/>
          <w:bCs/>
          <w:sz w:val="20"/>
          <w:szCs w:val="20"/>
        </w:rPr>
        <w:t>Compliance Risk Assessment</w:t>
      </w:r>
      <w:r w:rsidRPr="00F866F6">
        <w:rPr>
          <w:rFonts w:ascii="Arial" w:hAnsi="Arial" w:cs="Arial"/>
          <w:sz w:val="20"/>
          <w:szCs w:val="20"/>
        </w:rPr>
        <w:t>: Citibank Uganda Limited’s Compliance Risk assessments evaluate both Inherent Compliance Risk and Residual Compliance Risk through the Manager’s Control Assessment (“MCA”) tool. Outcome of these assessment determines if actions need to be taken to strengthen risk management or to reduce risk. ICRM with oversight responsibility over Citibank Uganda Limited also independently assesses the key compliance risks.</w:t>
      </w:r>
      <w:r w:rsidRPr="00F866F6">
        <w:t xml:space="preserve"> </w:t>
      </w:r>
      <w:r w:rsidRPr="00F866F6">
        <w:rPr>
          <w:rFonts w:ascii="Arial" w:hAnsi="Arial" w:cs="Arial"/>
          <w:sz w:val="20"/>
          <w:szCs w:val="20"/>
        </w:rPr>
        <w:t>The assessment determines if actions need to be taken to strengthen risk management or to reduce risk. ICRM is responsible for conducting credible challenge of the Compliance Risk Assessment results in the MCA. ICRM Compliance Risk Assessment process is further outlined in the Global Compliance Risk Assessment Standard.</w:t>
      </w:r>
    </w:p>
    <w:p w14:paraId="4BC2192D" w14:textId="77777777" w:rsidR="00E00A20" w:rsidRPr="00F866F6" w:rsidRDefault="00E00A20" w:rsidP="007D0EB4">
      <w:pPr>
        <w:pStyle w:val="ListParagraph"/>
        <w:numPr>
          <w:ilvl w:val="0"/>
          <w:numId w:val="11"/>
        </w:numPr>
        <w:ind w:left="900"/>
        <w:rPr>
          <w:rFonts w:ascii="Arial" w:hAnsi="Arial" w:cs="Arial"/>
          <w:sz w:val="20"/>
          <w:szCs w:val="20"/>
        </w:rPr>
      </w:pPr>
      <w:r w:rsidRPr="00F866F6">
        <w:rPr>
          <w:rFonts w:ascii="Arial" w:hAnsi="Arial" w:cs="Arial"/>
          <w:sz w:val="20"/>
          <w:szCs w:val="20"/>
        </w:rPr>
        <w:t>New Activity Approval</w:t>
      </w:r>
    </w:p>
    <w:p w14:paraId="704CA671" w14:textId="77777777" w:rsidR="00E00A20" w:rsidRPr="00F866F6" w:rsidRDefault="00E00A20" w:rsidP="007D0EB4">
      <w:pPr>
        <w:pStyle w:val="ListParagraph"/>
        <w:numPr>
          <w:ilvl w:val="0"/>
          <w:numId w:val="11"/>
        </w:numPr>
        <w:ind w:left="900"/>
        <w:rPr>
          <w:rFonts w:ascii="Arial" w:hAnsi="Arial" w:cs="Arial"/>
          <w:sz w:val="20"/>
          <w:szCs w:val="20"/>
        </w:rPr>
      </w:pPr>
      <w:proofErr w:type="gramStart"/>
      <w:r w:rsidRPr="00F866F6">
        <w:rPr>
          <w:rFonts w:ascii="Arial" w:hAnsi="Arial" w:cs="Arial"/>
          <w:sz w:val="20"/>
          <w:szCs w:val="20"/>
        </w:rPr>
        <w:t>In order to</w:t>
      </w:r>
      <w:proofErr w:type="gramEnd"/>
      <w:r w:rsidRPr="00F866F6">
        <w:rPr>
          <w:rFonts w:ascii="Arial" w:hAnsi="Arial" w:cs="Arial"/>
          <w:sz w:val="20"/>
          <w:szCs w:val="20"/>
        </w:rPr>
        <w:t xml:space="preserve"> successfully serve clients and achieve commercial goals, Citi must be responsive to changing circumstances. This may require Citi to review and approve any new or modified business activity that impacts clients, counterparties, or partners, in relation to Citi Products, Services, Capabilities and Business Operating Models. A New Activity Approval process is in place at Citi </w:t>
      </w:r>
      <w:proofErr w:type="gramStart"/>
      <w:r w:rsidRPr="00F866F6">
        <w:rPr>
          <w:rFonts w:ascii="Arial" w:hAnsi="Arial" w:cs="Arial"/>
          <w:sz w:val="20"/>
          <w:szCs w:val="20"/>
        </w:rPr>
        <w:t>in order to</w:t>
      </w:r>
      <w:proofErr w:type="gramEnd"/>
      <w:r w:rsidRPr="00F866F6">
        <w:rPr>
          <w:rFonts w:ascii="Arial" w:hAnsi="Arial" w:cs="Arial"/>
          <w:sz w:val="20"/>
          <w:szCs w:val="20"/>
        </w:rPr>
        <w:t xml:space="preserve"> ensure that the risks of a proposed new activity have been appropriately characterized and the mitigating control environment is adequate.</w:t>
      </w:r>
      <w:r>
        <w:rPr>
          <w:rFonts w:ascii="Arial" w:hAnsi="Arial" w:cs="Arial"/>
          <w:sz w:val="20"/>
          <w:szCs w:val="20"/>
        </w:rPr>
        <w:t xml:space="preserve"> </w:t>
      </w:r>
      <w:r w:rsidRPr="00F866F6">
        <w:rPr>
          <w:rFonts w:ascii="Arial" w:hAnsi="Arial" w:cs="Arial"/>
          <w:sz w:val="20"/>
          <w:szCs w:val="20"/>
        </w:rPr>
        <w:t xml:space="preserve">New Activity Policy establishes governing provisions for the review, </w:t>
      </w:r>
      <w:proofErr w:type="gramStart"/>
      <w:r w:rsidRPr="00F866F6">
        <w:rPr>
          <w:rFonts w:ascii="Arial" w:hAnsi="Arial" w:cs="Arial"/>
          <w:sz w:val="20"/>
          <w:szCs w:val="20"/>
        </w:rPr>
        <w:t>approval</w:t>
      </w:r>
      <w:proofErr w:type="gramEnd"/>
      <w:r w:rsidRPr="00F866F6">
        <w:rPr>
          <w:rFonts w:ascii="Arial" w:hAnsi="Arial" w:cs="Arial"/>
          <w:sz w:val="20"/>
          <w:szCs w:val="20"/>
        </w:rPr>
        <w:t xml:space="preserve"> and on-going oversight of new activities at Citi.</w:t>
      </w:r>
      <w:r w:rsidRPr="00F866F6">
        <w:t xml:space="preserve"> </w:t>
      </w:r>
      <w:r w:rsidRPr="00F866F6">
        <w:rPr>
          <w:rFonts w:ascii="Arial" w:hAnsi="Arial" w:cs="Arial"/>
          <w:sz w:val="20"/>
          <w:szCs w:val="20"/>
        </w:rPr>
        <w:t>ICRM supports the various new product development processes prior to the launch of a new product, service, or capability. ICRM reviews and approves, providing credible challenge in respect to Compliance Risk, new product initiatives as part of the new product approval process.</w:t>
      </w:r>
    </w:p>
    <w:p w14:paraId="479A27C0" w14:textId="77777777" w:rsidR="00E00A20" w:rsidRPr="00F866F6" w:rsidRDefault="00E00A20" w:rsidP="00E00A20">
      <w:pPr>
        <w:pStyle w:val="ListParagraph"/>
        <w:ind w:left="900"/>
        <w:rPr>
          <w:rFonts w:ascii="Arial" w:hAnsi="Arial" w:cs="Arial"/>
          <w:sz w:val="20"/>
          <w:szCs w:val="20"/>
        </w:rPr>
      </w:pPr>
    </w:p>
    <w:p w14:paraId="7FF3BD66" w14:textId="77777777" w:rsidR="00E00A20" w:rsidRPr="00F866F6" w:rsidRDefault="00E00A20" w:rsidP="00E00A20">
      <w:pPr>
        <w:pStyle w:val="ListParagraph"/>
        <w:ind w:left="900"/>
        <w:rPr>
          <w:rFonts w:ascii="Arial" w:hAnsi="Arial" w:cs="Arial"/>
          <w:sz w:val="20"/>
          <w:szCs w:val="20"/>
        </w:rPr>
      </w:pPr>
    </w:p>
    <w:p w14:paraId="44B5EB4A" w14:textId="77777777" w:rsidR="00E00A20" w:rsidRPr="00F866F6" w:rsidRDefault="00E00A20" w:rsidP="007D0EB4">
      <w:pPr>
        <w:pStyle w:val="ListParagraph"/>
        <w:numPr>
          <w:ilvl w:val="0"/>
          <w:numId w:val="11"/>
        </w:numPr>
        <w:ind w:left="900"/>
        <w:rPr>
          <w:rFonts w:ascii="Arial" w:hAnsi="Arial" w:cs="Arial"/>
          <w:sz w:val="20"/>
          <w:szCs w:val="20"/>
        </w:rPr>
      </w:pPr>
      <w:r w:rsidRPr="00F866F6">
        <w:rPr>
          <w:rFonts w:ascii="Arial" w:hAnsi="Arial" w:cs="Arial"/>
          <w:b/>
          <w:bCs/>
          <w:sz w:val="20"/>
          <w:szCs w:val="20"/>
        </w:rPr>
        <w:t>Compliance Risk Monitoring</w:t>
      </w:r>
      <w:r w:rsidRPr="00F866F6">
        <w:rPr>
          <w:rFonts w:ascii="Arial" w:hAnsi="Arial" w:cs="Arial"/>
          <w:sz w:val="20"/>
          <w:szCs w:val="20"/>
        </w:rPr>
        <w:t>: Citi uses Compliance Risk Monitoring to assist in the evaluation of how Citi businesses comply with LRRs and related Citi Policies. First line of defense evaluates key Compliance Risks and controls for their organisational unit in alignment with Governance, Risk and Compliance, which are recorded via the MCA process. ICRM executes Compliance Risk Monitoring plans, which are documented annually and refreshed quarterly, within the Citi Risk &amp; Controls system. Citibank Uganda Limited issues identified through Compliance Risk Monitoring activities are reported and escalated to through the processes articulated in the Action Pillar. Further details can be found in the ICRM Compliance Monitoring Procedure.</w:t>
      </w:r>
    </w:p>
    <w:p w14:paraId="12104BD4" w14:textId="77777777" w:rsidR="00E00A20" w:rsidRPr="00F866F6" w:rsidRDefault="00E00A20" w:rsidP="00E00A20">
      <w:pPr>
        <w:pStyle w:val="ListParagraph"/>
        <w:ind w:left="900"/>
        <w:rPr>
          <w:rFonts w:ascii="Arial" w:hAnsi="Arial" w:cs="Arial"/>
          <w:sz w:val="20"/>
          <w:szCs w:val="20"/>
        </w:rPr>
      </w:pPr>
    </w:p>
    <w:p w14:paraId="1639C49B" w14:textId="77777777" w:rsidR="00E00A20" w:rsidRPr="00F866F6" w:rsidRDefault="00E00A20" w:rsidP="007D0EB4">
      <w:pPr>
        <w:pStyle w:val="ListParagraph"/>
        <w:numPr>
          <w:ilvl w:val="0"/>
          <w:numId w:val="11"/>
        </w:numPr>
        <w:ind w:left="900"/>
        <w:rPr>
          <w:rFonts w:ascii="Arial" w:hAnsi="Arial" w:cs="Arial"/>
          <w:sz w:val="20"/>
          <w:szCs w:val="20"/>
          <w:lang w:eastAsia="zh-CN"/>
        </w:rPr>
      </w:pPr>
      <w:r w:rsidRPr="00F866F6">
        <w:rPr>
          <w:rFonts w:ascii="Arial" w:hAnsi="Arial" w:cs="Arial"/>
          <w:b/>
          <w:bCs/>
          <w:sz w:val="20"/>
          <w:szCs w:val="20"/>
        </w:rPr>
        <w:t>Compliance Testing</w:t>
      </w:r>
      <w:r w:rsidRPr="00F866F6">
        <w:rPr>
          <w:rFonts w:ascii="Arial" w:hAnsi="Arial" w:cs="Arial"/>
          <w:sz w:val="20"/>
          <w:szCs w:val="20"/>
        </w:rPr>
        <w:t>:</w:t>
      </w:r>
      <w:r w:rsidRPr="00F866F6">
        <w:rPr>
          <w:rFonts w:ascii="Arial" w:hAnsi="Arial" w:cs="Arial"/>
          <w:sz w:val="20"/>
          <w:szCs w:val="20"/>
        </w:rPr>
        <w:tab/>
        <w:t>ICRM Compliance Testing (“CT”) supports the Compliance Risk Management Framework and ICRM’s compliance risk management objectives by independently assessing compliance risks and by performing testing to assess the First Line and Enterprise Support Functions compliance with applicable LRRs and internal Policy Documents. An Annual CT Plan for Citi is prepared for this program and composed of numerous CT Reviews. Each CT Review included in the CT Annual Plan covers specific ICRM Assessment Entities. Each ICRM Assessment Entity consists of one or more GRC Assessment Units, where these are tagged to 1 or more Legal Entities. The Citibank Uganda Limited CT Plan is documented annually and refreshed quarterly within Citi Risk &amp; Controls. Citibank Uganda Limited issues identified through Compliance Testing are reported and escalated through the Processes articulated in the Action Pillar. Compliance Testing activities are further outlined in the ICRM Compliance Testing Procedure.</w:t>
      </w:r>
    </w:p>
    <w:p w14:paraId="413837D0" w14:textId="77777777" w:rsidR="00E00A20" w:rsidRPr="00F866F6" w:rsidRDefault="00E00A20" w:rsidP="00E00A20">
      <w:pPr>
        <w:pStyle w:val="ListParagraph"/>
        <w:ind w:left="900"/>
        <w:rPr>
          <w:rFonts w:ascii="Arial" w:hAnsi="Arial" w:cs="Arial"/>
          <w:sz w:val="20"/>
          <w:szCs w:val="20"/>
        </w:rPr>
      </w:pPr>
    </w:p>
    <w:p w14:paraId="24C207AC" w14:textId="77777777" w:rsidR="00E00A20" w:rsidRPr="00F866F6" w:rsidRDefault="00E00A20" w:rsidP="00E00A20">
      <w:pPr>
        <w:rPr>
          <w:rFonts w:ascii="Arial" w:hAnsi="Arial" w:cs="Arial"/>
          <w:sz w:val="20"/>
          <w:szCs w:val="20"/>
        </w:rPr>
      </w:pPr>
    </w:p>
    <w:p w14:paraId="42AD148C" w14:textId="77777777" w:rsidR="00E00A20" w:rsidRPr="00F866F6" w:rsidRDefault="00E00A20" w:rsidP="007D0EB4">
      <w:pPr>
        <w:pStyle w:val="Heading4"/>
        <w:numPr>
          <w:ilvl w:val="0"/>
          <w:numId w:val="32"/>
        </w:numPr>
        <w:ind w:left="1440" w:hanging="1080"/>
        <w:rPr>
          <w:rFonts w:ascii="Arial" w:hAnsi="Arial" w:cs="Arial"/>
          <w:color w:val="auto"/>
        </w:rPr>
      </w:pPr>
      <w:r w:rsidRPr="00F866F6">
        <w:rPr>
          <w:rFonts w:ascii="Arial" w:hAnsi="Arial" w:cs="Arial"/>
          <w:i w:val="0"/>
          <w:color w:val="auto"/>
        </w:rPr>
        <w:t>Pillar 3:</w:t>
      </w:r>
      <w:r w:rsidRPr="00F866F6">
        <w:rPr>
          <w:rFonts w:ascii="Arial" w:hAnsi="Arial" w:cs="Arial"/>
          <w:i w:val="0"/>
          <w:color w:val="auto"/>
        </w:rPr>
        <w:tab/>
        <w:t>Action</w:t>
      </w:r>
    </w:p>
    <w:p w14:paraId="04FA0825" w14:textId="77777777" w:rsidR="00E00A20" w:rsidRPr="00F866F6" w:rsidRDefault="00E00A20" w:rsidP="00E00A20">
      <w:pPr>
        <w:ind w:left="360"/>
        <w:rPr>
          <w:rFonts w:ascii="Arial" w:hAnsi="Arial" w:cs="Arial"/>
          <w:sz w:val="20"/>
          <w:szCs w:val="20"/>
        </w:rPr>
      </w:pPr>
      <w:r w:rsidRPr="00F866F6">
        <w:rPr>
          <w:rFonts w:ascii="Arial" w:hAnsi="Arial" w:cs="Arial"/>
          <w:sz w:val="20"/>
          <w:szCs w:val="20"/>
        </w:rPr>
        <w:t>Compliance assessment activities may identify non-adherence and Compliance Risk Issues or compliance risks that need to be addressed. The Processes in the Action Pillar ensure that Compliance Risk Issues and compliance risks are identified, reported, escalated, and remediated. The Action Processes include the following:</w:t>
      </w:r>
    </w:p>
    <w:p w14:paraId="07171949" w14:textId="77777777" w:rsidR="00E00A20" w:rsidRPr="00F866F6" w:rsidRDefault="00E00A20" w:rsidP="007D0EB4">
      <w:pPr>
        <w:pStyle w:val="ListParagraph"/>
        <w:numPr>
          <w:ilvl w:val="0"/>
          <w:numId w:val="12"/>
        </w:numPr>
        <w:ind w:hanging="360"/>
        <w:rPr>
          <w:rFonts w:ascii="Arial" w:hAnsi="Arial" w:cs="Arial"/>
          <w:sz w:val="20"/>
          <w:szCs w:val="20"/>
        </w:rPr>
      </w:pPr>
      <w:r w:rsidRPr="00F866F6">
        <w:rPr>
          <w:rFonts w:ascii="Arial" w:hAnsi="Arial" w:cs="Arial"/>
          <w:b/>
          <w:bCs/>
          <w:sz w:val="20"/>
          <w:szCs w:val="20"/>
        </w:rPr>
        <w:t>Compliance Issue Identification</w:t>
      </w:r>
      <w:r>
        <w:rPr>
          <w:rFonts w:ascii="Arial" w:hAnsi="Arial" w:cs="Arial"/>
          <w:b/>
          <w:bCs/>
          <w:sz w:val="20"/>
          <w:szCs w:val="20"/>
        </w:rPr>
        <w:t xml:space="preserve"> </w:t>
      </w:r>
      <w:r w:rsidRPr="00F866F6">
        <w:rPr>
          <w:rFonts w:ascii="Arial" w:hAnsi="Arial" w:cs="Arial"/>
          <w:b/>
          <w:bCs/>
          <w:sz w:val="20"/>
          <w:szCs w:val="20"/>
        </w:rPr>
        <w:t>and Remediation</w:t>
      </w:r>
      <w:r w:rsidRPr="00F866F6">
        <w:rPr>
          <w:rFonts w:ascii="Arial" w:hAnsi="Arial" w:cs="Arial"/>
          <w:sz w:val="20"/>
          <w:szCs w:val="20"/>
        </w:rPr>
        <w:t>:</w:t>
      </w:r>
      <w:r w:rsidRPr="00F866F6">
        <w:rPr>
          <w:rFonts w:ascii="Arial" w:hAnsi="Arial" w:cs="Arial"/>
          <w:sz w:val="20"/>
          <w:szCs w:val="20"/>
        </w:rPr>
        <w:tab/>
        <w:t xml:space="preserve">Once Compliance Risk Issues are identified, they are managed based on the Issue Management Lifecycle (“IML”) requirements detailed in the Global Regulations Management Standard. ICRM staff should be aware of Compliance Risk issues pertinent to their coverage area, and are responsible for reviewing and providing credible challenge, across the IML </w:t>
      </w:r>
      <w:r w:rsidRPr="00F866F6">
        <w:rPr>
          <w:sz w:val="22"/>
          <w:szCs w:val="22"/>
        </w:rPr>
        <w:t xml:space="preserve">on the accuracy, completeness, </w:t>
      </w:r>
      <w:proofErr w:type="gramStart"/>
      <w:r w:rsidRPr="00F866F6">
        <w:rPr>
          <w:sz w:val="22"/>
          <w:szCs w:val="22"/>
        </w:rPr>
        <w:t>adequacy</w:t>
      </w:r>
      <w:proofErr w:type="gramEnd"/>
      <w:r w:rsidRPr="00F866F6">
        <w:rPr>
          <w:sz w:val="22"/>
          <w:szCs w:val="22"/>
        </w:rPr>
        <w:t xml:space="preserve"> and sustainability of Issue attributes.</w:t>
      </w:r>
      <w:r>
        <w:rPr>
          <w:sz w:val="22"/>
          <w:szCs w:val="22"/>
        </w:rPr>
        <w:t xml:space="preserve"> </w:t>
      </w:r>
      <w:r w:rsidRPr="00F866F6">
        <w:rPr>
          <w:sz w:val="22"/>
          <w:szCs w:val="22"/>
        </w:rPr>
        <w:t>ICRM should also review issues pertinent to their coverage areas to identify repeat Issues, Lessons Learned and thematic concerns</w:t>
      </w:r>
      <w:r w:rsidRPr="00F866F6">
        <w:rPr>
          <w:rFonts w:ascii="Arial" w:hAnsi="Arial" w:cs="Arial"/>
          <w:sz w:val="20"/>
          <w:szCs w:val="20"/>
        </w:rPr>
        <w:t xml:space="preserve">. </w:t>
      </w:r>
    </w:p>
    <w:p w14:paraId="1C31AE95" w14:textId="77777777" w:rsidR="00E00A20" w:rsidRPr="00F866F6" w:rsidRDefault="00E00A20" w:rsidP="00E00A20">
      <w:pPr>
        <w:pStyle w:val="ListParagraph"/>
        <w:rPr>
          <w:rFonts w:ascii="Arial" w:hAnsi="Arial" w:cs="Arial"/>
          <w:sz w:val="20"/>
          <w:szCs w:val="20"/>
        </w:rPr>
      </w:pPr>
    </w:p>
    <w:p w14:paraId="39035249" w14:textId="77777777" w:rsidR="00E00A20" w:rsidRPr="00F866F6" w:rsidRDefault="00E00A20" w:rsidP="007D0EB4">
      <w:pPr>
        <w:pStyle w:val="ListParagraph"/>
        <w:numPr>
          <w:ilvl w:val="0"/>
          <w:numId w:val="12"/>
        </w:numPr>
        <w:ind w:hanging="360"/>
        <w:rPr>
          <w:rFonts w:ascii="Arial" w:hAnsi="Arial" w:cs="Arial"/>
          <w:sz w:val="20"/>
          <w:szCs w:val="20"/>
        </w:rPr>
      </w:pPr>
      <w:r w:rsidRPr="00F866F6">
        <w:rPr>
          <w:rFonts w:ascii="Arial" w:hAnsi="Arial" w:cs="Arial"/>
          <w:sz w:val="20"/>
          <w:szCs w:val="20"/>
        </w:rPr>
        <w:t>Compliance Risk Escalation</w:t>
      </w:r>
    </w:p>
    <w:p w14:paraId="4F789149" w14:textId="77777777" w:rsidR="00E00A20" w:rsidRPr="00F866F6" w:rsidRDefault="00E00A20" w:rsidP="00E00A20">
      <w:pPr>
        <w:pStyle w:val="ListParagraph"/>
        <w:rPr>
          <w:rFonts w:ascii="Arial" w:hAnsi="Arial" w:cs="Arial"/>
          <w:sz w:val="20"/>
          <w:szCs w:val="20"/>
        </w:rPr>
      </w:pPr>
      <w:r w:rsidRPr="00F866F6">
        <w:rPr>
          <w:rFonts w:ascii="Arial" w:hAnsi="Arial" w:cs="Arial"/>
          <w:sz w:val="20"/>
          <w:szCs w:val="20"/>
        </w:rPr>
        <w:t xml:space="preserve">To manage Compliance Risk all employees are required to escalate Events promptly/Compliance Risk Concerns promptly in accordance with the </w:t>
      </w:r>
      <w:hyperlink r:id="rId25" w:history="1">
        <w:r w:rsidRPr="00F866F6">
          <w:rPr>
            <w:rStyle w:val="Hyperlink"/>
            <w:rFonts w:ascii="Arial" w:hAnsi="Arial" w:cs="Arial"/>
            <w:color w:val="auto"/>
            <w:sz w:val="20"/>
            <w:szCs w:val="20"/>
          </w:rPr>
          <w:t>Escalation Policy</w:t>
        </w:r>
      </w:hyperlink>
      <w:r w:rsidRPr="00F866F6">
        <w:rPr>
          <w:rStyle w:val="Hyperlink"/>
          <w:rFonts w:ascii="Arial" w:hAnsi="Arial" w:cs="Arial"/>
          <w:color w:val="auto"/>
          <w:sz w:val="20"/>
          <w:szCs w:val="20"/>
        </w:rPr>
        <w:t xml:space="preserve"> and standard</w:t>
      </w:r>
      <w:r w:rsidRPr="00F866F6">
        <w:rPr>
          <w:rFonts w:ascii="Arial" w:hAnsi="Arial" w:cs="Arial"/>
          <w:sz w:val="20"/>
          <w:szCs w:val="20"/>
        </w:rPr>
        <w:t xml:space="preserve">. </w:t>
      </w:r>
    </w:p>
    <w:p w14:paraId="5F6A8465" w14:textId="77777777" w:rsidR="00E00A20" w:rsidRPr="00F866F6" w:rsidRDefault="00E00A20" w:rsidP="00E00A20">
      <w:pPr>
        <w:pStyle w:val="ListParagraph"/>
        <w:rPr>
          <w:rFonts w:ascii="Arial" w:hAnsi="Arial" w:cs="Arial"/>
          <w:sz w:val="20"/>
          <w:szCs w:val="20"/>
        </w:rPr>
      </w:pPr>
    </w:p>
    <w:p w14:paraId="1465FF98" w14:textId="77777777" w:rsidR="00E00A20" w:rsidRPr="00F866F6" w:rsidRDefault="00E00A20" w:rsidP="007D0EB4">
      <w:pPr>
        <w:pStyle w:val="ListParagraph"/>
        <w:numPr>
          <w:ilvl w:val="0"/>
          <w:numId w:val="12"/>
        </w:numPr>
        <w:ind w:hanging="360"/>
        <w:rPr>
          <w:rFonts w:ascii="Arial" w:hAnsi="Arial" w:cs="Arial"/>
          <w:sz w:val="20"/>
          <w:szCs w:val="20"/>
        </w:rPr>
      </w:pPr>
      <w:r w:rsidRPr="00F866F6">
        <w:rPr>
          <w:rFonts w:ascii="Arial" w:hAnsi="Arial" w:cs="Arial"/>
          <w:b/>
          <w:bCs/>
          <w:sz w:val="20"/>
          <w:szCs w:val="20"/>
        </w:rPr>
        <w:t>Compliance Risk Metrics</w:t>
      </w:r>
      <w:r w:rsidRPr="00F866F6">
        <w:rPr>
          <w:rFonts w:ascii="Arial" w:hAnsi="Arial" w:cs="Arial"/>
          <w:sz w:val="20"/>
          <w:szCs w:val="20"/>
        </w:rPr>
        <w:t>:</w:t>
      </w:r>
      <w:r w:rsidRPr="00F866F6">
        <w:rPr>
          <w:rFonts w:ascii="Arial" w:hAnsi="Arial" w:cs="Arial"/>
          <w:sz w:val="20"/>
          <w:szCs w:val="20"/>
        </w:rPr>
        <w:tab/>
        <w:t>Compliance Risk Metrics provide the data to enable managers within Citi’s businesses and functions to understand, report and manage Citi’s Compliance Risk and to inform credible challenge. ICRM oversees the establishment of the Citi’s framework for the consistent measurement and reporting of data, metrics, and analytics related to Compliance Risk against established thresholds and the Compliance Risk Appetite. Examples of metrics are number of regulatory violations / LRR, number of open regulatory control issues under remediation, number of overdue issues and number of enforcement actions. The</w:t>
      </w:r>
      <w:r w:rsidRPr="00F866F6">
        <w:t xml:space="preserve"> </w:t>
      </w:r>
      <w:r w:rsidRPr="00F866F6">
        <w:rPr>
          <w:rFonts w:ascii="Arial" w:hAnsi="Arial" w:cs="Arial"/>
          <w:sz w:val="20"/>
          <w:szCs w:val="20"/>
        </w:rPr>
        <w:t>Compliance Risk Key Indicator Procedure provides guidance on minimum requirements for identifying, enhancing, monitoring, and managing Compliance Key Risk Indicators across the First and Second Lines of Defense.</w:t>
      </w:r>
    </w:p>
    <w:p w14:paraId="280B2916" w14:textId="77777777" w:rsidR="00E00A20" w:rsidRPr="00F866F6" w:rsidRDefault="00E00A20" w:rsidP="00E00A20">
      <w:pPr>
        <w:rPr>
          <w:rFonts w:ascii="Arial" w:hAnsi="Arial" w:cs="Arial"/>
          <w:sz w:val="20"/>
          <w:szCs w:val="20"/>
        </w:rPr>
      </w:pPr>
    </w:p>
    <w:p w14:paraId="4F33F3AE" w14:textId="77777777" w:rsidR="00E00A20" w:rsidRPr="00F866F6" w:rsidRDefault="00E00A20" w:rsidP="007D0EB4">
      <w:pPr>
        <w:pStyle w:val="ListParagraph"/>
        <w:numPr>
          <w:ilvl w:val="0"/>
          <w:numId w:val="12"/>
        </w:numPr>
        <w:ind w:hanging="360"/>
        <w:rPr>
          <w:rFonts w:ascii="Arial" w:hAnsi="Arial" w:cs="Arial"/>
          <w:sz w:val="20"/>
          <w:szCs w:val="20"/>
        </w:rPr>
      </w:pPr>
      <w:r w:rsidRPr="00F866F6">
        <w:rPr>
          <w:rFonts w:ascii="Arial" w:hAnsi="Arial" w:cs="Arial"/>
          <w:b/>
          <w:bCs/>
          <w:sz w:val="20"/>
          <w:szCs w:val="20"/>
        </w:rPr>
        <w:t>Governance and Executive Reporting</w:t>
      </w:r>
      <w:r w:rsidRPr="00F866F6">
        <w:rPr>
          <w:rFonts w:ascii="Arial" w:hAnsi="Arial" w:cs="Arial"/>
          <w:sz w:val="20"/>
          <w:szCs w:val="20"/>
        </w:rPr>
        <w:t>:</w:t>
      </w:r>
      <w:bookmarkStart w:id="109" w:name="_Hlk170218521"/>
      <w:r w:rsidRPr="00F866F6">
        <w:rPr>
          <w:rFonts w:ascii="Arial" w:hAnsi="Arial" w:cs="Arial"/>
          <w:sz w:val="20"/>
          <w:szCs w:val="20"/>
        </w:rPr>
        <w:t xml:space="preserve"> Compliance Risk reporting is the process of providing Compliance Risk profile and performance information to enable decision-making and to provide aggregate views internally (e.g., to Executive Management and the Board) and externally (e.g., to regulators).</w:t>
      </w:r>
    </w:p>
    <w:p w14:paraId="17182704" w14:textId="77777777" w:rsidR="00E00A20" w:rsidRPr="00F866F6" w:rsidRDefault="00E00A20" w:rsidP="00E00A20">
      <w:pPr>
        <w:pStyle w:val="ListParagraph"/>
        <w:rPr>
          <w:rFonts w:ascii="Arial" w:hAnsi="Arial" w:cs="Arial"/>
          <w:sz w:val="20"/>
          <w:szCs w:val="20"/>
        </w:rPr>
      </w:pPr>
    </w:p>
    <w:bookmarkEnd w:id="109"/>
    <w:p w14:paraId="149D7EE6" w14:textId="77777777" w:rsidR="00E00A20" w:rsidRPr="00F866F6" w:rsidRDefault="00E00A20" w:rsidP="00E00A20">
      <w:pPr>
        <w:pStyle w:val="ListParagraph"/>
        <w:rPr>
          <w:rFonts w:ascii="Arial" w:hAnsi="Arial" w:cs="Arial"/>
          <w:sz w:val="20"/>
          <w:szCs w:val="20"/>
        </w:rPr>
      </w:pPr>
    </w:p>
    <w:p w14:paraId="791A0B1A" w14:textId="77777777" w:rsidR="00E00A20" w:rsidRPr="00F866F6" w:rsidRDefault="00E00A20" w:rsidP="007D0EB4">
      <w:pPr>
        <w:pStyle w:val="ListParagraph"/>
        <w:numPr>
          <w:ilvl w:val="0"/>
          <w:numId w:val="12"/>
        </w:numPr>
        <w:rPr>
          <w:rFonts w:ascii="Arial" w:hAnsi="Arial" w:cs="Arial"/>
          <w:sz w:val="20"/>
          <w:szCs w:val="20"/>
        </w:rPr>
      </w:pPr>
      <w:r w:rsidRPr="00F866F6">
        <w:rPr>
          <w:rFonts w:ascii="Arial" w:hAnsi="Arial" w:cs="Arial"/>
          <w:b/>
          <w:bCs/>
          <w:sz w:val="20"/>
          <w:szCs w:val="20"/>
        </w:rPr>
        <w:t>Compliance Reporting</w:t>
      </w:r>
      <w:r w:rsidRPr="00F866F6">
        <w:rPr>
          <w:rFonts w:ascii="Arial" w:hAnsi="Arial" w:cs="Arial"/>
          <w:sz w:val="20"/>
          <w:szCs w:val="20"/>
        </w:rPr>
        <w:t>:</w:t>
      </w:r>
      <w:r w:rsidRPr="00F866F6">
        <w:t xml:space="preserve"> </w:t>
      </w:r>
      <w:r w:rsidRPr="00F866F6">
        <w:rPr>
          <w:rFonts w:ascii="Arial" w:hAnsi="Arial" w:cs="Arial"/>
          <w:sz w:val="20"/>
          <w:szCs w:val="20"/>
        </w:rPr>
        <w:t>Compliance Risk Reporting is the Process of providing information relating to Citi’s Compliance Risk profile and performance to Governance Committees</w:t>
      </w:r>
      <w:r w:rsidRPr="00F866F6">
        <w:t xml:space="preserve"> </w:t>
      </w:r>
      <w:r w:rsidRPr="00F866F6">
        <w:rPr>
          <w:rFonts w:ascii="Arial" w:hAnsi="Arial" w:cs="Arial"/>
          <w:sz w:val="20"/>
          <w:szCs w:val="20"/>
        </w:rPr>
        <w:t>At least quarterly, the First Line of Defense must provide reporting that presents an aggregate view of their Compliance Risk exposure and demonstrates how they are managing their Compliance Risks using quantitative and qualitative information. ICRM Reporting requirements are outlined in Compliance Risk Reporting Standard.</w:t>
      </w:r>
      <w:r w:rsidRPr="00F866F6">
        <w:t xml:space="preserve"> </w:t>
      </w:r>
    </w:p>
    <w:p w14:paraId="7728E492" w14:textId="77777777" w:rsidR="00E00A20" w:rsidRPr="00F866F6" w:rsidRDefault="00E00A20" w:rsidP="00E00A20">
      <w:pPr>
        <w:pStyle w:val="ListParagraph"/>
        <w:rPr>
          <w:rFonts w:ascii="Arial" w:hAnsi="Arial" w:cs="Arial"/>
          <w:sz w:val="20"/>
          <w:szCs w:val="20"/>
        </w:rPr>
      </w:pPr>
    </w:p>
    <w:p w14:paraId="76D5A641" w14:textId="77777777" w:rsidR="00E00A20" w:rsidRPr="00F866F6" w:rsidRDefault="00E00A20" w:rsidP="00E00A20">
      <w:pPr>
        <w:pStyle w:val="ListParagraph"/>
        <w:rPr>
          <w:rFonts w:ascii="Arial" w:hAnsi="Arial" w:cs="Arial"/>
          <w:sz w:val="20"/>
          <w:szCs w:val="20"/>
        </w:rPr>
      </w:pPr>
      <w:r w:rsidRPr="00F866F6">
        <w:rPr>
          <w:rFonts w:ascii="Arial" w:hAnsi="Arial" w:cs="Arial"/>
          <w:sz w:val="20"/>
          <w:szCs w:val="20"/>
        </w:rPr>
        <w:t>Dual Responsibilities: ICRM performs dual responsibilities as a report owner for ICRM-owned Governance Committees, reporting to the Citigroup Inc. Risk Management Committee and CBNA Risk Committee; and separately, as a reviewer and challenger of the reporting undertaken by the first line of defense. For further details refer to Compliance Risk Reporting Standard</w:t>
      </w:r>
    </w:p>
    <w:p w14:paraId="7D57F722" w14:textId="77777777" w:rsidR="00E00A20" w:rsidRPr="00F866F6" w:rsidRDefault="00E00A20" w:rsidP="00E00A20">
      <w:pPr>
        <w:pStyle w:val="ListParagraph"/>
        <w:rPr>
          <w:rFonts w:ascii="Arial" w:hAnsi="Arial" w:cs="Arial"/>
          <w:sz w:val="20"/>
          <w:szCs w:val="20"/>
        </w:rPr>
      </w:pPr>
    </w:p>
    <w:p w14:paraId="32B0C65E" w14:textId="77777777" w:rsidR="00E00A20" w:rsidRPr="00F866F6" w:rsidRDefault="00E00A20" w:rsidP="00E00A20">
      <w:pPr>
        <w:rPr>
          <w:rFonts w:ascii="Arial" w:hAnsi="Arial" w:cs="Arial"/>
          <w:sz w:val="20"/>
          <w:szCs w:val="20"/>
        </w:rPr>
      </w:pPr>
    </w:p>
    <w:p w14:paraId="42B6D718" w14:textId="77777777" w:rsidR="00E00A20" w:rsidRPr="00F866F6" w:rsidRDefault="00E00A20" w:rsidP="007D0EB4">
      <w:pPr>
        <w:pStyle w:val="ListParagraph"/>
        <w:numPr>
          <w:ilvl w:val="0"/>
          <w:numId w:val="12"/>
        </w:numPr>
        <w:ind w:hanging="360"/>
        <w:rPr>
          <w:rFonts w:ascii="Arial" w:hAnsi="Arial" w:cs="Arial"/>
          <w:sz w:val="20"/>
          <w:szCs w:val="20"/>
        </w:rPr>
      </w:pPr>
      <w:r w:rsidRPr="00F866F6">
        <w:rPr>
          <w:rFonts w:ascii="Arial" w:hAnsi="Arial" w:cs="Arial"/>
          <w:b/>
          <w:bCs/>
          <w:sz w:val="20"/>
          <w:szCs w:val="20"/>
        </w:rPr>
        <w:t>Accountability and Consequence Management</w:t>
      </w:r>
      <w:r w:rsidRPr="00F866F6">
        <w:rPr>
          <w:rFonts w:ascii="Arial" w:hAnsi="Arial" w:cs="Arial"/>
          <w:sz w:val="20"/>
          <w:szCs w:val="20"/>
        </w:rPr>
        <w:t>:</w:t>
      </w:r>
      <w:r w:rsidRPr="00F866F6">
        <w:t xml:space="preserve"> </w:t>
      </w:r>
      <w:r w:rsidRPr="00F866F6">
        <w:rPr>
          <w:rFonts w:ascii="Arial" w:hAnsi="Arial" w:cs="Arial"/>
          <w:sz w:val="20"/>
          <w:szCs w:val="20"/>
        </w:rPr>
        <w:t xml:space="preserve">FLUs are responsible for identifying, measuring, monitoring, controlling, and reporting Compliance Risk to operate within Citi’s Risk Appetite for Compliance Risk through the quarterly Compliance Risk Appetite Assessment process. For areas operating out of appetite or within appetite with control deficiencies, FLUs are responsible for defining management remediation plans that articulate management actions and timeframe to return to within appetite. ICRM is responsible for providing credible challenge of the remediation plans and underlying management actions, including timelines. </w:t>
      </w:r>
      <w:r w:rsidRPr="00F866F6">
        <w:rPr>
          <w:rFonts w:ascii="Arial" w:hAnsi="Arial" w:cs="Arial"/>
          <w:sz w:val="20"/>
          <w:szCs w:val="20"/>
        </w:rPr>
        <w:tab/>
        <w:t>When such Issues or Breaches arise, the Accountability and Consequence Management Process is Citi’s mechanism to hold individuals to account in their performance review and compensation. The Process applies to all Citi personnel. Further details are found in are found in HR’s Accountability Framework Procedure.</w:t>
      </w:r>
    </w:p>
    <w:p w14:paraId="7B66907A" w14:textId="77777777" w:rsidR="00E00A20" w:rsidRPr="00F866F6" w:rsidRDefault="00E00A20" w:rsidP="00E00A20">
      <w:pPr>
        <w:rPr>
          <w:rFonts w:ascii="Arial" w:hAnsi="Arial" w:cs="Arial"/>
          <w:sz w:val="20"/>
          <w:szCs w:val="20"/>
        </w:rPr>
      </w:pPr>
    </w:p>
    <w:p w14:paraId="28C19394" w14:textId="77777777" w:rsidR="00E00A20" w:rsidRPr="00F866F6" w:rsidRDefault="00E00A20" w:rsidP="007D0EB4">
      <w:pPr>
        <w:pStyle w:val="Heading4"/>
        <w:numPr>
          <w:ilvl w:val="0"/>
          <w:numId w:val="32"/>
        </w:numPr>
        <w:ind w:left="1440" w:hanging="1080"/>
        <w:rPr>
          <w:rFonts w:ascii="Arial" w:hAnsi="Arial" w:cs="Arial"/>
          <w:color w:val="auto"/>
        </w:rPr>
      </w:pPr>
      <w:r w:rsidRPr="00F866F6">
        <w:rPr>
          <w:rFonts w:ascii="Arial" w:hAnsi="Arial" w:cs="Arial"/>
          <w:i w:val="0"/>
          <w:color w:val="auto"/>
        </w:rPr>
        <w:t>Enablers and ICRM Cross-Pillar Activities in management of Compliance Risk</w:t>
      </w:r>
    </w:p>
    <w:p w14:paraId="254766F7"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The following Enablers are in place to enable execution of the CRMF Processes:</w:t>
      </w:r>
    </w:p>
    <w:p w14:paraId="3F45CF2C" w14:textId="77777777" w:rsidR="00E00A20" w:rsidRPr="00F866F6" w:rsidRDefault="00E00A20" w:rsidP="007D0EB4">
      <w:pPr>
        <w:pStyle w:val="ListParagraph"/>
        <w:numPr>
          <w:ilvl w:val="0"/>
          <w:numId w:val="13"/>
        </w:num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Technology, Data and Analytics</w:t>
      </w:r>
    </w:p>
    <w:p w14:paraId="7429A2B9" w14:textId="77777777" w:rsidR="00E00A20" w:rsidRPr="00F866F6" w:rsidRDefault="00E00A20" w:rsidP="007D0EB4">
      <w:pPr>
        <w:pStyle w:val="ListParagraph"/>
        <w:numPr>
          <w:ilvl w:val="0"/>
          <w:numId w:val="13"/>
        </w:num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Compliance Technology Strategy</w:t>
      </w:r>
    </w:p>
    <w:p w14:paraId="7C5487F1" w14:textId="77777777" w:rsidR="00E00A20" w:rsidRPr="00F866F6" w:rsidRDefault="00E00A20" w:rsidP="007D0EB4">
      <w:pPr>
        <w:pStyle w:val="ListParagraph"/>
        <w:numPr>
          <w:ilvl w:val="0"/>
          <w:numId w:val="13"/>
        </w:num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Roles and Responsibilities</w:t>
      </w:r>
    </w:p>
    <w:p w14:paraId="51F028C1" w14:textId="77777777" w:rsidR="00E00A20" w:rsidRPr="00F866F6" w:rsidRDefault="00E00A20" w:rsidP="007D0EB4">
      <w:pPr>
        <w:pStyle w:val="ListParagraph"/>
        <w:numPr>
          <w:ilvl w:val="0"/>
          <w:numId w:val="13"/>
        </w:num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Talent Management</w:t>
      </w:r>
    </w:p>
    <w:p w14:paraId="055845DD"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ICRM have staff that operate across the three Pillars of the CRMF and provide credible challenge of the Processes and Controls outlined within it. For management of Compliance Risk, these Cross-Pillar activities are:</w:t>
      </w:r>
    </w:p>
    <w:p w14:paraId="267CE948" w14:textId="77777777" w:rsidR="00E00A20" w:rsidRPr="00F866F6" w:rsidRDefault="00E00A20" w:rsidP="007D0EB4">
      <w:pPr>
        <w:pStyle w:val="ListParagraph"/>
        <w:numPr>
          <w:ilvl w:val="0"/>
          <w:numId w:val="14"/>
        </w:num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ICRM Enterprise Compliance Programs</w:t>
      </w:r>
    </w:p>
    <w:p w14:paraId="210E3943" w14:textId="77777777" w:rsidR="00E00A20" w:rsidRPr="00F866F6" w:rsidRDefault="00E00A20" w:rsidP="007D0EB4">
      <w:pPr>
        <w:pStyle w:val="ListParagraph"/>
        <w:numPr>
          <w:ilvl w:val="0"/>
          <w:numId w:val="14"/>
        </w:num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ICRM Quality Assurance</w:t>
      </w:r>
    </w:p>
    <w:p w14:paraId="39B78B78" w14:textId="77777777" w:rsidR="00E00A20" w:rsidRPr="00F866F6" w:rsidRDefault="00E00A20" w:rsidP="007D0EB4">
      <w:pPr>
        <w:pStyle w:val="ListParagraph"/>
        <w:numPr>
          <w:ilvl w:val="0"/>
          <w:numId w:val="14"/>
        </w:num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ICRM Surveillance</w:t>
      </w:r>
    </w:p>
    <w:p w14:paraId="516E430C" w14:textId="77777777" w:rsidR="00E00A20" w:rsidRPr="00F866F6" w:rsidRDefault="00E00A20" w:rsidP="007D0EB4">
      <w:pPr>
        <w:pStyle w:val="ListParagraph"/>
        <w:numPr>
          <w:ilvl w:val="0"/>
          <w:numId w:val="14"/>
        </w:num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Regulatory Engagement</w:t>
      </w:r>
    </w:p>
    <w:p w14:paraId="0E0F1601" w14:textId="77777777" w:rsidR="00E00A20" w:rsidRPr="00F866F6" w:rsidRDefault="00E00A20" w:rsidP="007D0EB4">
      <w:pPr>
        <w:pStyle w:val="ListParagraph"/>
        <w:numPr>
          <w:ilvl w:val="0"/>
          <w:numId w:val="14"/>
        </w:num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Communications</w:t>
      </w:r>
    </w:p>
    <w:p w14:paraId="73CBD464" w14:textId="77777777" w:rsidR="00E00A20" w:rsidRPr="00F866F6" w:rsidRDefault="00E00A20" w:rsidP="007D0EB4">
      <w:pPr>
        <w:pStyle w:val="ListParagraph"/>
        <w:numPr>
          <w:ilvl w:val="0"/>
          <w:numId w:val="14"/>
        </w:num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Activities as a Risk Category Subject Matter Expert</w:t>
      </w:r>
    </w:p>
    <w:p w14:paraId="6D9FEAB9" w14:textId="77777777" w:rsidR="00E00A20" w:rsidRPr="00F866F6" w:rsidRDefault="00E00A20" w:rsidP="007D0EB4">
      <w:pPr>
        <w:pStyle w:val="ListParagraph"/>
        <w:numPr>
          <w:ilvl w:val="0"/>
          <w:numId w:val="14"/>
        </w:num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Manager’s Control Assessment (“MCA”)</w:t>
      </w:r>
    </w:p>
    <w:p w14:paraId="2AFCB8B7"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Details of these Enablers and Cross-Pillar activities can be found in the CRMP.</w:t>
      </w:r>
    </w:p>
    <w:p w14:paraId="3C47018C" w14:textId="77777777" w:rsidR="00E00A20" w:rsidRPr="00F866F6" w:rsidRDefault="00E00A20" w:rsidP="00E00A20">
      <w:pPr>
        <w:rPr>
          <w:rFonts w:ascii="Arial" w:hAnsi="Arial" w:cs="Arial"/>
          <w:sz w:val="20"/>
          <w:szCs w:val="20"/>
        </w:rPr>
      </w:pPr>
    </w:p>
    <w:p w14:paraId="0B133320" w14:textId="77777777" w:rsidR="00E00A20" w:rsidRPr="00F866F6" w:rsidRDefault="00E00A20" w:rsidP="007D0EB4">
      <w:pPr>
        <w:pStyle w:val="Heading3"/>
        <w:numPr>
          <w:ilvl w:val="2"/>
          <w:numId w:val="22"/>
        </w:numPr>
        <w:ind w:hanging="720"/>
        <w:rPr>
          <w:rFonts w:ascii="Arial" w:hAnsi="Arial" w:cs="Arial"/>
          <w:color w:val="auto"/>
        </w:rPr>
      </w:pPr>
      <w:bookmarkStart w:id="110" w:name="_Toc130808493"/>
      <w:bookmarkStart w:id="111" w:name="_Toc135136724"/>
      <w:r w:rsidRPr="00F866F6">
        <w:rPr>
          <w:rFonts w:ascii="Arial" w:hAnsi="Arial" w:cs="Arial"/>
          <w:color w:val="auto"/>
        </w:rPr>
        <w:t>Risk Lifecycle of Reputation Risk</w:t>
      </w:r>
      <w:bookmarkEnd w:id="110"/>
      <w:bookmarkEnd w:id="111"/>
      <w:r w:rsidRPr="00F866F6">
        <w:rPr>
          <w:rFonts w:ascii="Arial" w:hAnsi="Arial" w:cs="Arial"/>
          <w:color w:val="auto"/>
        </w:rPr>
        <w:t xml:space="preserve"> </w:t>
      </w:r>
    </w:p>
    <w:p w14:paraId="7A9D0F3D" w14:textId="77777777" w:rsidR="00E00A20" w:rsidRPr="00F866F6" w:rsidRDefault="00E00A20" w:rsidP="00E00A20">
      <w:pPr>
        <w:tabs>
          <w:tab w:val="left" w:pos="1440"/>
        </w:tabs>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Citi’s Reputation Risk Management framework is established through five core documents which focus on critical framework elements such as roles/responsibilities, governance, escalations, Risk Appetite, and reporting.</w:t>
      </w:r>
    </w:p>
    <w:p w14:paraId="765E9556" w14:textId="77777777" w:rsidR="00E00A20" w:rsidRPr="00F866F6" w:rsidRDefault="00E00A20" w:rsidP="007D0EB4">
      <w:pPr>
        <w:pStyle w:val="ListParagraph"/>
        <w:numPr>
          <w:ilvl w:val="0"/>
          <w:numId w:val="5"/>
        </w:numPr>
        <w:tabs>
          <w:tab w:val="left" w:pos="1440"/>
        </w:tabs>
        <w:rPr>
          <w:rFonts w:ascii="Arial" w:eastAsia="Arial" w:hAnsi="Arial" w:cs="Arial"/>
          <w:noProof/>
          <w:sz w:val="20"/>
          <w:szCs w:val="20"/>
          <w:lang w:val="en-US" w:eastAsia="en-US"/>
        </w:rPr>
      </w:pPr>
      <w:r w:rsidRPr="00F866F6">
        <w:rPr>
          <w:rFonts w:ascii="Arial" w:eastAsia="Arial" w:hAnsi="Arial" w:cs="Arial"/>
          <w:b/>
          <w:sz w:val="20"/>
          <w:szCs w:val="20"/>
          <w:lang w:val="en-US" w:eastAsia="en-US"/>
        </w:rPr>
        <w:t>Reputation Risk Policy</w:t>
      </w:r>
      <w:r w:rsidRPr="00F866F6">
        <w:rPr>
          <w:rFonts w:ascii="Arial" w:eastAsia="Arial" w:hAnsi="Arial" w:cs="Arial"/>
          <w:noProof/>
          <w:sz w:val="20"/>
          <w:szCs w:val="20"/>
          <w:lang w:val="en-US" w:eastAsia="en-US"/>
        </w:rPr>
        <w:t xml:space="preserve"> – </w:t>
      </w:r>
      <w:r w:rsidRPr="00F866F6">
        <w:rPr>
          <w:rFonts w:ascii="Arial" w:eastAsia="Arial" w:hAnsi="Arial" w:cs="Arial"/>
          <w:sz w:val="20"/>
          <w:szCs w:val="20"/>
          <w:lang w:val="en-US" w:eastAsia="en-US"/>
        </w:rPr>
        <w:t>Outlines the roles and responsibilities for the identification, reporting, monitoring, and management of Reputation Risk at Citi.</w:t>
      </w:r>
    </w:p>
    <w:p w14:paraId="2593FFF3" w14:textId="77777777" w:rsidR="00E00A20" w:rsidRPr="00F866F6" w:rsidRDefault="00E00A20" w:rsidP="007D0EB4">
      <w:pPr>
        <w:pStyle w:val="ListParagraph"/>
        <w:numPr>
          <w:ilvl w:val="0"/>
          <w:numId w:val="5"/>
        </w:numPr>
        <w:tabs>
          <w:tab w:val="left" w:pos="1440"/>
        </w:tabs>
        <w:rPr>
          <w:rFonts w:ascii="Arial" w:eastAsia="Arial" w:hAnsi="Arial" w:cs="Arial"/>
          <w:noProof/>
          <w:sz w:val="20"/>
          <w:szCs w:val="20"/>
          <w:lang w:val="en-US" w:eastAsia="en-US"/>
        </w:rPr>
      </w:pPr>
      <w:r w:rsidRPr="00F866F6">
        <w:rPr>
          <w:rFonts w:ascii="Arial" w:eastAsia="Arial" w:hAnsi="Arial" w:cs="Arial"/>
          <w:b/>
          <w:sz w:val="20"/>
          <w:szCs w:val="20"/>
          <w:lang w:val="en-US" w:eastAsia="en-US"/>
        </w:rPr>
        <w:t>Reputation Risk Appetite Standard</w:t>
      </w:r>
      <w:r w:rsidRPr="00F866F6">
        <w:rPr>
          <w:rFonts w:ascii="Arial" w:eastAsia="Arial" w:hAnsi="Arial" w:cs="Arial"/>
          <w:bCs/>
          <w:sz w:val="20"/>
          <w:szCs w:val="20"/>
          <w:lang w:val="en-US" w:eastAsia="en-US"/>
        </w:rPr>
        <w:t xml:space="preserve"> – Establishes Reputation Risk Appetite assessment minimum requirements.</w:t>
      </w:r>
    </w:p>
    <w:p w14:paraId="39CEE2EC" w14:textId="77777777" w:rsidR="00E00A20" w:rsidRPr="00F866F6" w:rsidRDefault="00E00A20" w:rsidP="007D0EB4">
      <w:pPr>
        <w:pStyle w:val="ListParagraph"/>
        <w:numPr>
          <w:ilvl w:val="0"/>
          <w:numId w:val="5"/>
        </w:numPr>
        <w:tabs>
          <w:tab w:val="left" w:pos="1440"/>
        </w:tabs>
        <w:rPr>
          <w:rFonts w:ascii="Arial" w:eastAsia="Arial" w:hAnsi="Arial" w:cs="Arial"/>
          <w:noProof/>
          <w:sz w:val="20"/>
          <w:szCs w:val="20"/>
          <w:lang w:val="en-US" w:eastAsia="en-US"/>
        </w:rPr>
      </w:pPr>
      <w:r w:rsidRPr="00F866F6">
        <w:rPr>
          <w:rFonts w:ascii="Arial" w:eastAsia="Arial" w:hAnsi="Arial" w:cs="Arial"/>
          <w:b/>
          <w:sz w:val="20"/>
          <w:szCs w:val="20"/>
          <w:lang w:val="en-US" w:eastAsia="en-US"/>
        </w:rPr>
        <w:t>Reputation Risk Management Procedure</w:t>
      </w:r>
      <w:r w:rsidRPr="00F866F6">
        <w:rPr>
          <w:rFonts w:ascii="Arial" w:eastAsia="Arial" w:hAnsi="Arial" w:cs="Arial"/>
          <w:sz w:val="20"/>
          <w:szCs w:val="20"/>
          <w:lang w:val="en-US" w:eastAsia="en-US"/>
        </w:rPr>
        <w:t xml:space="preserve"> </w:t>
      </w:r>
      <w:r w:rsidRPr="00F866F6">
        <w:rPr>
          <w:rFonts w:ascii="Arial" w:eastAsia="Arial" w:hAnsi="Arial" w:cs="Arial"/>
          <w:noProof/>
          <w:sz w:val="20"/>
          <w:szCs w:val="20"/>
          <w:lang w:val="en-US" w:eastAsia="en-US"/>
        </w:rPr>
        <w:t>–</w:t>
      </w:r>
      <w:r w:rsidRPr="00F866F6">
        <w:rPr>
          <w:rFonts w:ascii="Arial" w:eastAsia="Arial" w:hAnsi="Arial" w:cs="Arial"/>
          <w:sz w:val="20"/>
          <w:szCs w:val="20"/>
          <w:lang w:val="en-US" w:eastAsia="en-US"/>
        </w:rPr>
        <w:t xml:space="preserve"> Establishes</w:t>
      </w:r>
      <w:r w:rsidRPr="00F866F6">
        <w:rPr>
          <w:rFonts w:ascii="Arial" w:eastAsia="Arial" w:hAnsi="Arial" w:cs="Arial"/>
          <w:noProof/>
          <w:sz w:val="20"/>
          <w:szCs w:val="20"/>
          <w:lang w:val="en-US" w:eastAsia="en-US"/>
        </w:rPr>
        <w:t xml:space="preserve"> </w:t>
      </w:r>
      <w:r w:rsidRPr="00F866F6">
        <w:rPr>
          <w:rFonts w:ascii="Arial" w:eastAsia="Arial" w:hAnsi="Arial" w:cs="Arial"/>
          <w:sz w:val="20"/>
          <w:szCs w:val="20"/>
          <w:lang w:val="en-US" w:eastAsia="en-US"/>
        </w:rPr>
        <w:t>the processes to support Reputation Risk management, in line with the Reputation Risk Policy.</w:t>
      </w:r>
    </w:p>
    <w:p w14:paraId="50E442D0" w14:textId="77777777" w:rsidR="00E00A20" w:rsidRPr="00F866F6" w:rsidRDefault="00E00A20" w:rsidP="007D0EB4">
      <w:pPr>
        <w:pStyle w:val="ListParagraph"/>
        <w:numPr>
          <w:ilvl w:val="0"/>
          <w:numId w:val="5"/>
        </w:numPr>
        <w:tabs>
          <w:tab w:val="left" w:pos="1440"/>
        </w:tabs>
        <w:rPr>
          <w:rFonts w:ascii="Arial" w:eastAsia="Arial" w:hAnsi="Arial" w:cs="Arial"/>
          <w:noProof/>
          <w:sz w:val="20"/>
          <w:szCs w:val="20"/>
          <w:lang w:val="en-US" w:eastAsia="en-US"/>
        </w:rPr>
      </w:pPr>
      <w:r w:rsidRPr="00F866F6">
        <w:rPr>
          <w:rFonts w:ascii="Arial" w:eastAsia="Arial" w:hAnsi="Arial" w:cs="Arial"/>
          <w:b/>
          <w:sz w:val="20"/>
          <w:szCs w:val="20"/>
          <w:lang w:val="en-US" w:eastAsia="en-US"/>
        </w:rPr>
        <w:t>Reputation Risk Escalation Procedure</w:t>
      </w:r>
      <w:r w:rsidRPr="00F866F6">
        <w:rPr>
          <w:rFonts w:ascii="Arial" w:eastAsia="Arial" w:hAnsi="Arial" w:cs="Arial"/>
          <w:sz w:val="20"/>
          <w:szCs w:val="20"/>
          <w:lang w:val="en-US" w:eastAsia="en-US"/>
        </w:rPr>
        <w:t xml:space="preserve"> – Outlines the process through which matters that present potential Reputation Risk can be evaluated and escalated.</w:t>
      </w:r>
    </w:p>
    <w:p w14:paraId="5FE3FF8D" w14:textId="77777777" w:rsidR="00E00A20" w:rsidRPr="00F866F6" w:rsidRDefault="00E00A20" w:rsidP="007D0EB4">
      <w:pPr>
        <w:pStyle w:val="ListParagraph"/>
        <w:numPr>
          <w:ilvl w:val="0"/>
          <w:numId w:val="5"/>
        </w:numPr>
        <w:tabs>
          <w:tab w:val="left" w:pos="1440"/>
        </w:tabs>
        <w:rPr>
          <w:rFonts w:ascii="Arial" w:eastAsia="Arial" w:hAnsi="Arial" w:cs="Arial"/>
          <w:noProof/>
          <w:sz w:val="20"/>
          <w:szCs w:val="20"/>
          <w:lang w:val="en-US" w:eastAsia="en-US"/>
        </w:rPr>
      </w:pPr>
      <w:r w:rsidRPr="00F866F6">
        <w:rPr>
          <w:rFonts w:ascii="Arial" w:eastAsia="Arial" w:hAnsi="Arial" w:cs="Arial"/>
          <w:b/>
          <w:sz w:val="20"/>
          <w:szCs w:val="20"/>
          <w:lang w:val="en-US" w:eastAsia="en-US"/>
        </w:rPr>
        <w:t>Reputation Risk Committee Standard</w:t>
      </w:r>
      <w:r w:rsidRPr="00F866F6">
        <w:rPr>
          <w:rFonts w:ascii="Arial" w:eastAsia="Arial" w:hAnsi="Arial" w:cs="Arial"/>
          <w:sz w:val="20"/>
          <w:szCs w:val="20"/>
          <w:lang w:val="en-US" w:eastAsia="en-US"/>
        </w:rPr>
        <w:t xml:space="preserve"> </w:t>
      </w:r>
      <w:r w:rsidRPr="00F866F6">
        <w:rPr>
          <w:rFonts w:ascii="Arial" w:eastAsia="Arial" w:hAnsi="Arial" w:cs="Arial"/>
          <w:noProof/>
          <w:sz w:val="20"/>
          <w:szCs w:val="20"/>
          <w:lang w:val="en-US" w:eastAsia="en-US"/>
        </w:rPr>
        <w:t>–</w:t>
      </w:r>
      <w:r w:rsidRPr="00F866F6">
        <w:rPr>
          <w:rFonts w:ascii="Arial" w:eastAsia="Arial" w:hAnsi="Arial" w:cs="Arial"/>
          <w:sz w:val="20"/>
          <w:szCs w:val="20"/>
          <w:lang w:val="en-US" w:eastAsia="en-US"/>
        </w:rPr>
        <w:t xml:space="preserve"> Details</w:t>
      </w:r>
      <w:r w:rsidRPr="00F866F6">
        <w:rPr>
          <w:rFonts w:ascii="Arial" w:eastAsia="Arial" w:hAnsi="Arial" w:cs="Arial"/>
          <w:noProof/>
          <w:sz w:val="20"/>
          <w:szCs w:val="20"/>
          <w:lang w:val="en-US" w:eastAsia="en-US"/>
        </w:rPr>
        <w:t xml:space="preserve"> </w:t>
      </w:r>
      <w:r w:rsidRPr="00F866F6">
        <w:rPr>
          <w:rFonts w:ascii="Arial" w:eastAsia="Arial" w:hAnsi="Arial" w:cs="Arial"/>
          <w:sz w:val="20"/>
          <w:szCs w:val="20"/>
          <w:lang w:val="en-US" w:eastAsia="en-US"/>
        </w:rPr>
        <w:t>the requirements for adhering to the Citi Governance Policy as it relates to the governance of Reputation Risk.</w:t>
      </w:r>
    </w:p>
    <w:p w14:paraId="48CFA3D5" w14:textId="77777777" w:rsidR="00E00A20" w:rsidRPr="00F866F6" w:rsidRDefault="00E00A20" w:rsidP="00E00A20">
      <w:pPr>
        <w:tabs>
          <w:tab w:val="left" w:pos="1440"/>
        </w:tabs>
        <w:rPr>
          <w:rFonts w:eastAsia="Arial"/>
          <w:szCs w:val="20"/>
        </w:rPr>
      </w:pPr>
      <w:r w:rsidRPr="00F866F6">
        <w:rPr>
          <w:rFonts w:ascii="Arial" w:eastAsia="Arial" w:hAnsi="Arial" w:cs="Arial"/>
          <w:noProof/>
          <w:sz w:val="20"/>
          <w:szCs w:val="20"/>
          <w:lang w:val="en-US" w:eastAsia="en-US"/>
        </w:rPr>
        <w:t xml:space="preserve">The Reputation Risks that Citi </w:t>
      </w:r>
      <w:r w:rsidRPr="00F866F6">
        <w:rPr>
          <w:rFonts w:ascii="Arial" w:hAnsi="Arial" w:cs="Arial"/>
          <w:sz w:val="20"/>
          <w:szCs w:val="20"/>
        </w:rPr>
        <w:t xml:space="preserve">are </w:t>
      </w:r>
      <w:r w:rsidRPr="00F866F6">
        <w:rPr>
          <w:rFonts w:ascii="Arial" w:eastAsia="Arial" w:hAnsi="Arial" w:cs="Arial"/>
          <w:noProof/>
          <w:sz w:val="20"/>
          <w:szCs w:val="20"/>
          <w:lang w:val="en-US" w:eastAsia="en-US"/>
        </w:rPr>
        <w:t xml:space="preserve">exposed to are identified and managed as defined in the Citi </w:t>
      </w:r>
      <w:r w:rsidRPr="00F866F6">
        <w:rPr>
          <w:rFonts w:ascii="Arial" w:eastAsia="Arial" w:hAnsi="Arial" w:cs="Arial"/>
          <w:sz w:val="20"/>
          <w:szCs w:val="20"/>
          <w:lang w:val="en-US" w:eastAsia="en-US"/>
        </w:rPr>
        <w:t>Reputation Risk Policy.</w:t>
      </w:r>
      <w:r w:rsidRPr="00F866F6">
        <w:rPr>
          <w:rFonts w:ascii="Arial" w:eastAsia="Arial" w:hAnsi="Arial" w:cs="Arial"/>
          <w:sz w:val="20"/>
          <w:szCs w:val="22"/>
          <w:lang w:val="en-US" w:eastAsia="en-US"/>
        </w:rPr>
        <w:t xml:space="preserve"> </w:t>
      </w:r>
      <w:r w:rsidRPr="00F866F6">
        <w:rPr>
          <w:rFonts w:ascii="Arial" w:hAnsi="Arial" w:cs="Arial"/>
          <w:sz w:val="20"/>
          <w:szCs w:val="20"/>
        </w:rPr>
        <w:t xml:space="preserve">Citi </w:t>
      </w:r>
      <w:r w:rsidRPr="00F866F6">
        <w:rPr>
          <w:rFonts w:ascii="Arial" w:eastAsia="Arial" w:hAnsi="Arial" w:cs="Arial"/>
          <w:sz w:val="20"/>
          <w:szCs w:val="22"/>
          <w:lang w:val="en-US" w:eastAsia="en-US"/>
        </w:rPr>
        <w:t>does not manage Reputation Risk on a standalone basis.</w:t>
      </w:r>
      <w:r w:rsidRPr="00F866F6">
        <w:rPr>
          <w:rFonts w:ascii="Arial" w:eastAsia="Arial" w:hAnsi="Arial" w:cs="Arial"/>
          <w:noProof/>
          <w:sz w:val="20"/>
          <w:szCs w:val="22"/>
          <w:lang w:val="en-US" w:eastAsia="en-US"/>
        </w:rPr>
        <w:t xml:space="preserve"> </w:t>
      </w:r>
      <w:r w:rsidRPr="00F866F6">
        <w:rPr>
          <w:rFonts w:ascii="Arial" w:eastAsia="Arial" w:hAnsi="Arial" w:cs="Arial"/>
          <w:noProof/>
          <w:sz w:val="20"/>
          <w:szCs w:val="20"/>
          <w:lang w:val="en-US" w:eastAsia="en-US"/>
        </w:rPr>
        <w:t xml:space="preserve">Citi applies the Reputation Risk Policy to all businesses booked within </w:t>
      </w:r>
      <w:r w:rsidRPr="00F866F6">
        <w:rPr>
          <w:rFonts w:ascii="Arial" w:hAnsi="Arial" w:cs="Arial"/>
          <w:sz w:val="20"/>
          <w:szCs w:val="20"/>
        </w:rPr>
        <w:t xml:space="preserve">it </w:t>
      </w:r>
      <w:r w:rsidRPr="00F866F6">
        <w:rPr>
          <w:rFonts w:ascii="Arial" w:eastAsia="Arial" w:hAnsi="Arial" w:cs="Arial"/>
          <w:noProof/>
          <w:sz w:val="20"/>
          <w:szCs w:val="20"/>
          <w:lang w:val="en-US" w:eastAsia="en-US"/>
        </w:rPr>
        <w:t>as part of a Citi-wide assessment of Reputation Risk. The policy outlines the roles and responsibilities for identification, reporting, monitoring and management of Reputation Risk at Citi.</w:t>
      </w:r>
    </w:p>
    <w:p w14:paraId="60CCF386" w14:textId="77777777" w:rsidR="00E00A20" w:rsidRPr="00F866F6" w:rsidRDefault="00E00A20" w:rsidP="00E00A20"/>
    <w:p w14:paraId="31A75105" w14:textId="77777777" w:rsidR="00E00A20" w:rsidRPr="00F866F6" w:rsidRDefault="00E00A20" w:rsidP="007D0EB4">
      <w:pPr>
        <w:pStyle w:val="Heading4"/>
        <w:numPr>
          <w:ilvl w:val="4"/>
          <w:numId w:val="31"/>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Identification</w:t>
      </w:r>
    </w:p>
    <w:p w14:paraId="7ADBF186" w14:textId="77777777" w:rsidR="00E00A20" w:rsidRPr="00F866F6" w:rsidRDefault="00E00A20" w:rsidP="00E00A20">
      <w:pPr>
        <w:tabs>
          <w:tab w:val="left" w:pos="1440"/>
        </w:tabs>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Notwithstanding the specific responsibilities set forth for each Line of Defense, all legal entities, product lines and functions are responsible for identifying and managing material Reputation Risks and for escalating concerns to the appropriate Committee via the relevant Coordinators.</w:t>
      </w:r>
    </w:p>
    <w:p w14:paraId="62CD912C" w14:textId="77777777" w:rsidR="00E00A20" w:rsidRPr="00F866F6" w:rsidRDefault="00E00A20" w:rsidP="00E00A20">
      <w:pPr>
        <w:rPr>
          <w:i/>
          <w:iCs/>
        </w:rPr>
      </w:pPr>
    </w:p>
    <w:p w14:paraId="0347299E" w14:textId="77777777" w:rsidR="00E00A20" w:rsidRPr="00F866F6" w:rsidRDefault="00E00A20" w:rsidP="007D0EB4">
      <w:pPr>
        <w:pStyle w:val="Heading4"/>
        <w:numPr>
          <w:ilvl w:val="4"/>
          <w:numId w:val="31"/>
        </w:numPr>
        <w:ind w:left="1440" w:hanging="1080"/>
        <w:rPr>
          <w:rFonts w:ascii="Arial" w:hAnsi="Arial" w:cs="Arial"/>
          <w:color w:val="auto"/>
        </w:rPr>
      </w:pPr>
      <w:r w:rsidRPr="00F866F6">
        <w:rPr>
          <w:rFonts w:ascii="Arial" w:hAnsi="Arial" w:cs="Arial"/>
          <w:i w:val="0"/>
          <w:iCs w:val="0"/>
          <w:color w:val="auto"/>
        </w:rPr>
        <w:t>Risk</w:t>
      </w:r>
      <w:r w:rsidRPr="00F866F6">
        <w:rPr>
          <w:rFonts w:ascii="Arial" w:hAnsi="Arial" w:cs="Arial"/>
          <w:color w:val="auto"/>
        </w:rPr>
        <w:t xml:space="preserve"> </w:t>
      </w:r>
      <w:r w:rsidRPr="00F866F6">
        <w:rPr>
          <w:rFonts w:ascii="Arial" w:hAnsi="Arial" w:cs="Arial"/>
          <w:i w:val="0"/>
          <w:iCs w:val="0"/>
          <w:color w:val="auto"/>
        </w:rPr>
        <w:t>Measurement</w:t>
      </w:r>
    </w:p>
    <w:p w14:paraId="5C1443B3" w14:textId="77777777" w:rsidR="00E00A20" w:rsidRPr="00F866F6" w:rsidRDefault="00E00A20" w:rsidP="00E00A20">
      <w:pPr>
        <w:ind w:left="360"/>
        <w:rPr>
          <w:rFonts w:ascii="Arial" w:eastAsia="Arial" w:hAnsi="Arial" w:cs="Arial"/>
          <w:noProof/>
          <w:sz w:val="20"/>
          <w:szCs w:val="20"/>
          <w:lang w:val="en-US" w:eastAsia="en-US"/>
        </w:rPr>
      </w:pPr>
      <w:bookmarkStart w:id="112" w:name="_Toc112314129"/>
      <w:bookmarkStart w:id="113" w:name="_Toc112332838"/>
      <w:bookmarkStart w:id="114" w:name="_Toc112314130"/>
      <w:bookmarkStart w:id="115" w:name="_Toc112332839"/>
      <w:bookmarkEnd w:id="112"/>
      <w:bookmarkEnd w:id="113"/>
      <w:bookmarkEnd w:id="114"/>
      <w:bookmarkEnd w:id="115"/>
      <w:r w:rsidRPr="00F866F6">
        <w:rPr>
          <w:rFonts w:ascii="Arial" w:hAnsi="Arial" w:cs="Arial"/>
          <w:sz w:val="20"/>
          <w:szCs w:val="20"/>
        </w:rPr>
        <w:t>Citibank Uganda Limited</w:t>
      </w:r>
      <w:r w:rsidRPr="00F866F6">
        <w:rPr>
          <w:rFonts w:ascii="Arial" w:eastAsia="Arial" w:hAnsi="Arial" w:cs="Arial"/>
          <w:sz w:val="20"/>
          <w:szCs w:val="20"/>
        </w:rPr>
        <w:t xml:space="preserve"> </w:t>
      </w:r>
      <w:r w:rsidRPr="00F866F6">
        <w:rPr>
          <w:rFonts w:ascii="Arial" w:eastAsia="Arial" w:hAnsi="Arial" w:cs="Arial"/>
          <w:noProof/>
          <w:sz w:val="20"/>
          <w:szCs w:val="20"/>
          <w:lang w:val="en-US" w:eastAsia="en-US"/>
        </w:rPr>
        <w:t xml:space="preserve">does not measure Reputation Risk on a standalone Legal Entity basis. It is measured at the Citigroup/CBNA level, which i aligns to the Citi Reputation Risk Policy. </w:t>
      </w:r>
    </w:p>
    <w:p w14:paraId="107617CE"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The  Procedures is comprised of inputs from Citi's key stakeholder groups (such as customers, clients, employees, regulators, general public, investors and other stakeholders).</w:t>
      </w:r>
    </w:p>
    <w:p w14:paraId="1D7BE1ED" w14:textId="77777777" w:rsidR="00E00A20" w:rsidRPr="00F866F6" w:rsidRDefault="00E00A20" w:rsidP="00E00A20">
      <w:pPr>
        <w:ind w:left="360"/>
        <w:rPr>
          <w:i/>
          <w:iCs/>
        </w:rPr>
      </w:pPr>
    </w:p>
    <w:p w14:paraId="3496FB65" w14:textId="77777777" w:rsidR="00E00A20" w:rsidRPr="00F866F6" w:rsidRDefault="00E00A20" w:rsidP="007D0EB4">
      <w:pPr>
        <w:pStyle w:val="Heading4"/>
        <w:numPr>
          <w:ilvl w:val="4"/>
          <w:numId w:val="31"/>
        </w:numPr>
        <w:ind w:left="1440" w:hanging="1080"/>
        <w:rPr>
          <w:rFonts w:ascii="Arial" w:eastAsia="Arial" w:hAnsi="Arial" w:cs="Arial"/>
          <w:color w:val="auto"/>
          <w:sz w:val="20"/>
          <w:szCs w:val="20"/>
          <w:lang w:val="en-US" w:eastAsia="en-US"/>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Monitoring</w:t>
      </w:r>
    </w:p>
    <w:p w14:paraId="1F37114F" w14:textId="77777777" w:rsidR="00E00A20" w:rsidRPr="00F866F6" w:rsidRDefault="00E00A20" w:rsidP="00E00A20">
      <w:pPr>
        <w:pStyle w:val="BODYSTYLE"/>
        <w:ind w:left="360"/>
        <w:rPr>
          <w:rFonts w:eastAsia="Arial"/>
          <w:noProof/>
          <w:color w:val="auto"/>
          <w:szCs w:val="20"/>
        </w:rPr>
      </w:pPr>
      <w:r w:rsidRPr="00F866F6">
        <w:rPr>
          <w:rFonts w:eastAsia="Arial"/>
          <w:noProof/>
          <w:color w:val="auto"/>
          <w:szCs w:val="20"/>
        </w:rPr>
        <w:t>Reputation Risk is monitored across Citi businesses, clusters and legal entities through RRCs and the CCCs.</w:t>
      </w:r>
      <w:r w:rsidRPr="00F866F6">
        <w:rPr>
          <w:color w:val="auto"/>
          <w:szCs w:val="20"/>
        </w:rPr>
        <w:t xml:space="preserve"> </w:t>
      </w:r>
      <w:r w:rsidRPr="00F866F6">
        <w:rPr>
          <w:rFonts w:eastAsia="Arial"/>
          <w:noProof/>
          <w:color w:val="auto"/>
          <w:szCs w:val="20"/>
        </w:rPr>
        <w:t>CCCs provide oversight of Reputation Risk at the country-level. RRCs govern the processes by which material Reputation Risks are managed, in line with the firm-wide strategic objectives, Risk Appetite thresholds, and regulatory expectations, while promoting the culture of risk awareness and high standards of culture and conduct.</w:t>
      </w:r>
    </w:p>
    <w:p w14:paraId="1E9FBF58" w14:textId="77777777" w:rsidR="00E00A20" w:rsidRPr="00F866F6" w:rsidRDefault="00E00A20" w:rsidP="00E00A20">
      <w:pPr>
        <w:pStyle w:val="BODYSTYLE"/>
        <w:ind w:left="360"/>
        <w:rPr>
          <w:rFonts w:eastAsia="Arial"/>
          <w:noProof/>
          <w:color w:val="auto"/>
          <w:szCs w:val="20"/>
        </w:rPr>
      </w:pPr>
      <w:r w:rsidRPr="00F866F6">
        <w:rPr>
          <w:rFonts w:eastAsia="Arial"/>
          <w:noProof/>
          <w:color w:val="auto"/>
          <w:szCs w:val="20"/>
        </w:rPr>
        <w:t>RRCs receive ad-hoc escalations of transactions, clients or product features that merit Reputation Risk review. Once a material Reputation Risk is identified, the matter is escalated to the appropriate RRC Coordinator. The matter may be resolved through discussion facilitated by the RRC Coordinator outside of a formal RRC meeting or escalated to the appropriate RRC.</w:t>
      </w:r>
    </w:p>
    <w:p w14:paraId="717C5CEC" w14:textId="77777777" w:rsidR="00E00A20" w:rsidRPr="00F866F6" w:rsidRDefault="00E00A20" w:rsidP="00E00A20">
      <w:pPr>
        <w:pStyle w:val="BODYSTYLE"/>
        <w:ind w:left="360"/>
        <w:rPr>
          <w:rFonts w:eastAsia="Arial"/>
          <w:noProof/>
          <w:color w:val="auto"/>
          <w:szCs w:val="20"/>
        </w:rPr>
      </w:pPr>
      <w:r w:rsidRPr="00F866F6">
        <w:rPr>
          <w:rFonts w:eastAsia="Arial"/>
          <w:noProof/>
          <w:color w:val="auto"/>
          <w:szCs w:val="20"/>
        </w:rPr>
        <w:t xml:space="preserve">As part of resolving an escalated Reputation Risk, appropriate </w:t>
      </w:r>
      <w:r w:rsidRPr="00F866F6">
        <w:rPr>
          <w:color w:val="auto"/>
          <w:szCs w:val="20"/>
        </w:rPr>
        <w:t xml:space="preserve">legal entity </w:t>
      </w:r>
      <w:r w:rsidRPr="00F866F6">
        <w:rPr>
          <w:rFonts w:eastAsia="Arial"/>
          <w:noProof/>
          <w:color w:val="auto"/>
          <w:szCs w:val="20"/>
        </w:rPr>
        <w:t xml:space="preserve">representation and impacts are considered as part of RRC discussions and determinations. Discussion outside of a formal committee meeting also include appropriate representation. </w:t>
      </w:r>
    </w:p>
    <w:p w14:paraId="4B05AE4A" w14:textId="77777777" w:rsidR="00E00A20" w:rsidRPr="00F866F6" w:rsidRDefault="00E00A20" w:rsidP="00E00A20">
      <w:pPr>
        <w:pStyle w:val="BODYSTYLE"/>
        <w:ind w:left="360"/>
        <w:rPr>
          <w:rFonts w:eastAsia="Arial"/>
          <w:noProof/>
          <w:color w:val="auto"/>
          <w:szCs w:val="20"/>
        </w:rPr>
      </w:pPr>
      <w:r w:rsidRPr="00F866F6">
        <w:rPr>
          <w:rFonts w:eastAsia="Arial"/>
          <w:noProof/>
          <w:color w:val="auto"/>
          <w:szCs w:val="20"/>
        </w:rPr>
        <w:t xml:space="preserve">Reputation Risk escalations can come from a number of sources. CCCs and subordinate RRCs may escalate issues to RRCs more appropriately scoped to resolve the issue. Group New Activity Committee (“GNAC”) and its business segment sub-committees, and other risk committees are all sources of review and referrals for Reputation Risk escalations. The escalation template for RRCs requires the </w:t>
      </w:r>
      <w:r w:rsidRPr="00F866F6">
        <w:rPr>
          <w:color w:val="auto"/>
          <w:szCs w:val="20"/>
        </w:rPr>
        <w:t>impacted Legal Entities</w:t>
      </w:r>
      <w:r w:rsidRPr="00F866F6">
        <w:rPr>
          <w:rFonts w:eastAsia="Arial"/>
          <w:color w:val="auto"/>
          <w:szCs w:val="20"/>
        </w:rPr>
        <w:t xml:space="preserve"> </w:t>
      </w:r>
      <w:r w:rsidRPr="00F866F6">
        <w:rPr>
          <w:rFonts w:eastAsia="Arial"/>
          <w:noProof/>
          <w:color w:val="auto"/>
          <w:szCs w:val="20"/>
        </w:rPr>
        <w:t xml:space="preserve">to be identified and facilitate appropriate </w:t>
      </w:r>
      <w:r w:rsidRPr="00F866F6">
        <w:rPr>
          <w:rFonts w:eastAsia="Arial"/>
          <w:color w:val="auto"/>
          <w:szCs w:val="20"/>
        </w:rPr>
        <w:t xml:space="preserve">legal entity </w:t>
      </w:r>
      <w:r w:rsidRPr="00F866F6">
        <w:rPr>
          <w:rFonts w:eastAsia="Arial"/>
          <w:noProof/>
          <w:color w:val="auto"/>
          <w:szCs w:val="20"/>
        </w:rPr>
        <w:t>representation.</w:t>
      </w:r>
    </w:p>
    <w:p w14:paraId="33FC1DBB"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Independent Reputation Risk Management provides oversight and administration of the Reputation Risk Management framework, and provides reports to Senior Management and Reputation Risk governance committees.</w:t>
      </w:r>
    </w:p>
    <w:p w14:paraId="6A0D6865" w14:textId="77777777" w:rsidR="00E00A20" w:rsidRPr="00F866F6" w:rsidRDefault="00E00A20" w:rsidP="00E00A20">
      <w:pPr>
        <w:rPr>
          <w:i/>
          <w:iCs/>
          <w:lang w:val="en-US"/>
        </w:rPr>
      </w:pPr>
    </w:p>
    <w:p w14:paraId="1F6AE640" w14:textId="77777777" w:rsidR="00E00A20" w:rsidRPr="00F866F6" w:rsidRDefault="00E00A20" w:rsidP="007D0EB4">
      <w:pPr>
        <w:pStyle w:val="Heading4"/>
        <w:numPr>
          <w:ilvl w:val="4"/>
          <w:numId w:val="31"/>
        </w:numPr>
        <w:ind w:left="1440" w:hanging="1080"/>
        <w:rPr>
          <w:rFonts w:ascii="Arial" w:hAnsi="Arial" w:cs="Arial"/>
          <w:color w:val="auto"/>
        </w:rPr>
      </w:pPr>
      <w:r w:rsidRPr="00F866F6">
        <w:rPr>
          <w:rFonts w:ascii="Arial" w:hAnsi="Arial" w:cs="Arial"/>
          <w:i w:val="0"/>
          <w:color w:val="auto"/>
        </w:rPr>
        <w:t>Risk</w:t>
      </w:r>
      <w:r w:rsidRPr="00F866F6">
        <w:rPr>
          <w:rFonts w:ascii="Arial" w:hAnsi="Arial" w:cs="Arial"/>
          <w:color w:val="auto"/>
        </w:rPr>
        <w:t xml:space="preserve"> </w:t>
      </w:r>
      <w:r w:rsidRPr="00F866F6">
        <w:rPr>
          <w:rFonts w:ascii="Arial" w:hAnsi="Arial" w:cs="Arial"/>
          <w:i w:val="0"/>
          <w:color w:val="auto"/>
        </w:rPr>
        <w:t>Control</w:t>
      </w:r>
    </w:p>
    <w:p w14:paraId="630FECE1" w14:textId="77777777" w:rsidR="00E00A20" w:rsidRPr="00F866F6" w:rsidRDefault="00E00A20" w:rsidP="00E00A20">
      <w:pPr>
        <w:ind w:left="360"/>
        <w:rPr>
          <w:rFonts w:ascii="Arial" w:eastAsia="Arial" w:hAnsi="Arial" w:cs="Arial"/>
          <w:sz w:val="20"/>
          <w:szCs w:val="20"/>
          <w:lang w:val="en-US" w:eastAsia="en-US"/>
        </w:rPr>
      </w:pPr>
      <w:r w:rsidRPr="00F866F6">
        <w:rPr>
          <w:rFonts w:ascii="Arial" w:eastAsia="Arial" w:hAnsi="Arial" w:cs="Arial"/>
          <w:sz w:val="20"/>
          <w:szCs w:val="20"/>
          <w:lang w:val="en-US" w:eastAsia="en-US"/>
        </w:rPr>
        <w:t>CCCs are responsible for escalation and notification to Business RRC Coordinators. The Group Reputation Risk Committee (“GRRC”) is responsible for escalation and notification to the Citi and CBNA Board of Directors or their relevant committees, as appropriate.</w:t>
      </w:r>
    </w:p>
    <w:p w14:paraId="74FF6673"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 xml:space="preserve">An important safeguard for managing Reputation Risk is the integrity and training of employees. </w:t>
      </w:r>
      <w:r w:rsidRPr="00F866F6">
        <w:rPr>
          <w:rFonts w:ascii="Arial" w:eastAsia="Arial" w:hAnsi="Arial" w:cs="Arial"/>
          <w:sz w:val="20"/>
          <w:szCs w:val="20"/>
          <w:lang w:val="en-US" w:eastAsia="en-US"/>
        </w:rPr>
        <w:t>Citibank Uganda Limited</w:t>
      </w:r>
      <w:r w:rsidRPr="00F866F6">
        <w:rPr>
          <w:rFonts w:ascii="Arial" w:eastAsia="Arial" w:hAnsi="Arial" w:cs="Arial"/>
          <w:noProof/>
          <w:sz w:val="20"/>
          <w:szCs w:val="20"/>
          <w:lang w:val="en-US" w:eastAsia="en-US"/>
        </w:rPr>
        <w:t xml:space="preserve"> expects employees to read and acknowledge their acceptance of the ethical standards in the Code of Conduct, to comply with all policies, including those that help to mitigate and manage Reputation Risk, and to escalate potential Reputation Risks.</w:t>
      </w:r>
    </w:p>
    <w:p w14:paraId="050A4D81" w14:textId="77777777" w:rsidR="00E00A20" w:rsidRPr="00F866F6" w:rsidRDefault="00E00A20" w:rsidP="00E00A20">
      <w:pPr>
        <w:rPr>
          <w:rFonts w:ascii="Arial" w:eastAsia="Arial" w:hAnsi="Arial" w:cs="Arial"/>
          <w:noProof/>
          <w:sz w:val="20"/>
          <w:szCs w:val="20"/>
          <w:lang w:val="en-US" w:eastAsia="en-US"/>
        </w:rPr>
      </w:pPr>
    </w:p>
    <w:p w14:paraId="774C0DED" w14:textId="77777777" w:rsidR="00E00A20" w:rsidRPr="00F866F6" w:rsidRDefault="00E00A20" w:rsidP="007D0EB4">
      <w:pPr>
        <w:pStyle w:val="Heading4"/>
        <w:numPr>
          <w:ilvl w:val="4"/>
          <w:numId w:val="31"/>
        </w:numPr>
        <w:ind w:left="1440" w:hanging="1080"/>
        <w:rPr>
          <w:rFonts w:ascii="Arial" w:hAnsi="Arial" w:cs="Arial"/>
          <w:color w:val="auto"/>
        </w:rPr>
      </w:pPr>
      <w:r w:rsidRPr="00F866F6">
        <w:rPr>
          <w:rFonts w:ascii="Arial" w:hAnsi="Arial" w:cs="Arial"/>
          <w:i w:val="0"/>
          <w:color w:val="auto"/>
        </w:rPr>
        <w:t>Risk Reporting</w:t>
      </w:r>
    </w:p>
    <w:p w14:paraId="3BBF228D"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RRCs meet each quarter and review Reputation Risk Matters referred to or identifed by a RRC Coordinator or escalated by the second line of defense. Separately. Reputation Risk Events in Citi or within the industry relevant to the business or function may result in a Lessons Learned Review (Refer to Citi Global Lessons Learned Policy), and results of the Reputation Risk Lessons Learrned are provided to the relevant RRC.</w:t>
      </w:r>
    </w:p>
    <w:p w14:paraId="2E9D52F7" w14:textId="77777777" w:rsidR="00E00A20" w:rsidRPr="00F866F6" w:rsidRDefault="00E00A20" w:rsidP="00E00A20">
      <w:pPr>
        <w:ind w:left="360"/>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Subordinate</w:t>
      </w:r>
      <w:r w:rsidRPr="00F866F6" w:rsidDel="00115289">
        <w:rPr>
          <w:rFonts w:ascii="Arial" w:eastAsia="Arial" w:hAnsi="Arial" w:cs="Arial"/>
          <w:noProof/>
          <w:sz w:val="20"/>
          <w:szCs w:val="20"/>
          <w:lang w:val="en-US" w:eastAsia="en-US"/>
        </w:rPr>
        <w:t xml:space="preserve"> </w:t>
      </w:r>
      <w:r w:rsidRPr="00F866F6">
        <w:rPr>
          <w:rFonts w:ascii="Arial" w:eastAsia="Arial" w:hAnsi="Arial" w:cs="Arial"/>
          <w:noProof/>
          <w:sz w:val="20"/>
          <w:szCs w:val="20"/>
          <w:lang w:val="en-US" w:eastAsia="en-US"/>
        </w:rPr>
        <w:t xml:space="preserve">and Business Reputation Risk Committees escalate significant issues to the Group Reputation Risk Committee (GRRC), in line with the </w:t>
      </w:r>
      <w:hyperlink r:id="rId26" w:history="1">
        <w:r w:rsidRPr="00F866F6">
          <w:rPr>
            <w:rStyle w:val="Hyperlink"/>
            <w:rFonts w:ascii="Arial" w:eastAsia="Arial" w:hAnsi="Arial" w:cs="Arial"/>
            <w:noProof/>
            <w:color w:val="auto"/>
            <w:sz w:val="20"/>
            <w:szCs w:val="20"/>
            <w:lang w:val="en-US" w:eastAsia="en-US"/>
          </w:rPr>
          <w:t>Escalation Policy</w:t>
        </w:r>
      </w:hyperlink>
      <w:r w:rsidRPr="00F866F6">
        <w:rPr>
          <w:rFonts w:ascii="Arial" w:eastAsia="Arial" w:hAnsi="Arial" w:cs="Arial"/>
          <w:noProof/>
          <w:sz w:val="20"/>
          <w:szCs w:val="20"/>
          <w:lang w:val="en-US" w:eastAsia="en-US"/>
        </w:rPr>
        <w:t>. The GRRC escalates to the Citigroup or Citibank, N.A. Board(s) or their relevant Committees, as appropriate. The Group RRC Coordinator provides regular updates to the Nomination, Governance and Public Affairs Committee of the Citigroup Board, typically focusing on the Reputation Risk program and topics of interest.</w:t>
      </w:r>
    </w:p>
    <w:p w14:paraId="64849C1B" w14:textId="77777777" w:rsidR="00E00A20" w:rsidRPr="00F866F6" w:rsidRDefault="00E00A20" w:rsidP="00E00A20">
      <w:pPr>
        <w:spacing w:before="0" w:after="160" w:line="259" w:lineRule="auto"/>
        <w:rPr>
          <w:rFonts w:ascii="Arial" w:hAnsi="Arial" w:cs="Arial"/>
          <w:bCs/>
          <w:sz w:val="20"/>
          <w:szCs w:val="20"/>
          <w:lang w:val="en-US" w:eastAsia="en-US"/>
        </w:rPr>
      </w:pPr>
      <w:r w:rsidRPr="00F866F6">
        <w:rPr>
          <w:bCs/>
          <w:szCs w:val="20"/>
        </w:rPr>
        <w:br w:type="page"/>
      </w:r>
    </w:p>
    <w:p w14:paraId="613B9E57" w14:textId="2B8842E2" w:rsidR="00383657" w:rsidRPr="006E32C1" w:rsidRDefault="00383657" w:rsidP="00BC5786">
      <w:pPr>
        <w:spacing w:before="0" w:after="160" w:line="259" w:lineRule="auto"/>
        <w:rPr>
          <w:rFonts w:ascii="Arial" w:hAnsi="Arial" w:cs="Arial"/>
          <w:bCs/>
          <w:color w:val="000000"/>
          <w:sz w:val="20"/>
          <w:szCs w:val="20"/>
          <w:highlight w:val="cyan"/>
          <w:lang w:val="en-US" w:eastAsia="en-US"/>
        </w:rPr>
      </w:pPr>
    </w:p>
    <w:p w14:paraId="15294C86" w14:textId="5438961C" w:rsidR="00957E5A" w:rsidRPr="006E32C1" w:rsidRDefault="00957E5A" w:rsidP="007D0EB4">
      <w:pPr>
        <w:pStyle w:val="Heading2"/>
        <w:numPr>
          <w:ilvl w:val="0"/>
          <w:numId w:val="17"/>
        </w:numPr>
        <w:ind w:left="540" w:hanging="540"/>
        <w:rPr>
          <w:rFonts w:ascii="Arial" w:hAnsi="Arial" w:cs="Arial"/>
          <w:b/>
          <w:bCs/>
          <w:color w:val="auto"/>
          <w:sz w:val="24"/>
          <w:szCs w:val="24"/>
          <w:lang w:val="en-US"/>
        </w:rPr>
      </w:pPr>
      <w:bookmarkStart w:id="116" w:name="_Toc130808494"/>
      <w:bookmarkStart w:id="117" w:name="_Toc134525229"/>
      <w:bookmarkStart w:id="118" w:name="_Toc104362138"/>
      <w:r w:rsidRPr="006E32C1">
        <w:rPr>
          <w:rFonts w:ascii="Arial" w:hAnsi="Arial" w:cs="Arial"/>
          <w:b/>
          <w:bCs/>
          <w:color w:val="auto"/>
          <w:sz w:val="24"/>
          <w:szCs w:val="24"/>
          <w:lang w:val="en-US"/>
        </w:rPr>
        <w:t>Enterprise Programs</w:t>
      </w:r>
      <w:bookmarkEnd w:id="116"/>
      <w:bookmarkEnd w:id="117"/>
    </w:p>
    <w:p w14:paraId="073BF0C1" w14:textId="45544359" w:rsidR="00957E5A" w:rsidRPr="006E32C1" w:rsidRDefault="00957E5A" w:rsidP="00C967FB">
      <w:pPr>
        <w:rPr>
          <w:rFonts w:ascii="Arial" w:hAnsi="Arial" w:cs="Arial"/>
          <w:sz w:val="20"/>
          <w:szCs w:val="20"/>
          <w:lang w:val="en-US"/>
        </w:rPr>
      </w:pPr>
      <w:r w:rsidRPr="006E32C1">
        <w:rPr>
          <w:rFonts w:ascii="Arial" w:hAnsi="Arial" w:cs="Arial"/>
          <w:sz w:val="20"/>
          <w:szCs w:val="20"/>
          <w:lang w:val="en-US"/>
        </w:rPr>
        <w:t xml:space="preserve">This section provides a high-level description of the enterprise programs that support the risk management lifecycle and are used to support </w:t>
      </w:r>
      <w:r w:rsidR="005B61B0" w:rsidRPr="006E32C1">
        <w:rPr>
          <w:rFonts w:ascii="Arial" w:hAnsi="Arial" w:cs="Arial"/>
          <w:sz w:val="20"/>
          <w:szCs w:val="20"/>
          <w:lang w:val="en-US"/>
        </w:rPr>
        <w:t>Citibank Uganda Limited</w:t>
      </w:r>
      <w:r w:rsidRPr="006E32C1">
        <w:rPr>
          <w:rFonts w:ascii="Arial" w:hAnsi="Arial" w:cs="Arial"/>
          <w:sz w:val="20"/>
          <w:szCs w:val="20"/>
          <w:lang w:val="en-US"/>
        </w:rPr>
        <w:t xml:space="preserve"> to identify, measure, monitor, control, and report applicable risks.</w:t>
      </w:r>
    </w:p>
    <w:p w14:paraId="19E391A8" w14:textId="1B0332D5" w:rsidR="00957E5A" w:rsidRPr="006E32C1" w:rsidRDefault="00957E5A">
      <w:pPr>
        <w:rPr>
          <w:lang w:val="en-US"/>
        </w:rPr>
      </w:pPr>
    </w:p>
    <w:p w14:paraId="4C27F6AF" w14:textId="77777777" w:rsidR="00E15703" w:rsidRPr="00F866F6" w:rsidRDefault="00E15703" w:rsidP="007D0EB4">
      <w:pPr>
        <w:pStyle w:val="Heading3"/>
        <w:numPr>
          <w:ilvl w:val="0"/>
          <w:numId w:val="36"/>
        </w:numPr>
        <w:ind w:left="900"/>
        <w:rPr>
          <w:rFonts w:ascii="Arial" w:hAnsi="Arial" w:cs="Arial"/>
          <w:color w:val="auto"/>
        </w:rPr>
      </w:pPr>
      <w:bookmarkStart w:id="119" w:name="_Toc104362155"/>
      <w:bookmarkStart w:id="120" w:name="_Toc130808514"/>
      <w:bookmarkStart w:id="121" w:name="_Toc134525242"/>
      <w:bookmarkStart w:id="122" w:name="_Toc135136726"/>
      <w:bookmarkEnd w:id="118"/>
      <w:r w:rsidRPr="00F866F6">
        <w:rPr>
          <w:rFonts w:ascii="Arial" w:hAnsi="Arial" w:cs="Arial"/>
          <w:color w:val="auto"/>
        </w:rPr>
        <w:t>Enterprise Risk Identification (including Concentration)</w:t>
      </w:r>
      <w:bookmarkEnd w:id="122"/>
    </w:p>
    <w:p w14:paraId="342F8319" w14:textId="77777777" w:rsidR="00E15703" w:rsidRPr="00F866F6" w:rsidRDefault="00E15703" w:rsidP="00E15703">
      <w:pPr>
        <w:rPr>
          <w:rFonts w:ascii="Arial" w:eastAsia="Arial" w:hAnsi="Arial" w:cs="Arial"/>
          <w:noProof/>
          <w:sz w:val="20"/>
          <w:szCs w:val="20"/>
          <w:lang w:val="en-US" w:eastAsia="en-US"/>
        </w:rPr>
      </w:pPr>
      <w:bookmarkStart w:id="123" w:name="_Toc130808496"/>
      <w:bookmarkStart w:id="124" w:name="_Toc130809492"/>
      <w:bookmarkStart w:id="125" w:name="_Toc130809982"/>
      <w:bookmarkStart w:id="126" w:name="_Toc130810054"/>
      <w:bookmarkStart w:id="127" w:name="_Toc130818061"/>
      <w:bookmarkStart w:id="128" w:name="_Toc130818141"/>
      <w:bookmarkStart w:id="129" w:name="_Toc130818442"/>
      <w:bookmarkStart w:id="130" w:name="_Toc130808497"/>
      <w:bookmarkStart w:id="131" w:name="_Toc130809493"/>
      <w:bookmarkStart w:id="132" w:name="_Toc130809983"/>
      <w:bookmarkStart w:id="133" w:name="_Toc130810055"/>
      <w:bookmarkStart w:id="134" w:name="_Toc130818062"/>
      <w:bookmarkStart w:id="135" w:name="_Toc130818142"/>
      <w:bookmarkStart w:id="136" w:name="_Toc130818443"/>
      <w:bookmarkStart w:id="137" w:name="_Toc13080849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F866F6">
        <w:rPr>
          <w:rFonts w:ascii="Arial" w:eastAsia="Arial" w:hAnsi="Arial" w:cs="Arial"/>
          <w:noProof/>
          <w:sz w:val="20"/>
          <w:szCs w:val="20"/>
          <w:lang w:val="en-US" w:eastAsia="en-US"/>
        </w:rPr>
        <w:t xml:space="preserve">The Enterprise runs an Enterprise-wide Risk Identification process on a Global </w:t>
      </w:r>
      <w:r w:rsidRPr="00F866F6">
        <w:rPr>
          <w:rFonts w:ascii="Arial" w:eastAsia="Arial" w:hAnsi="Arial" w:cs="Arial"/>
          <w:sz w:val="20"/>
          <w:szCs w:val="20"/>
          <w:lang w:val="en-US" w:eastAsia="en-US"/>
        </w:rPr>
        <w:t xml:space="preserve">Business </w:t>
      </w:r>
      <w:r w:rsidRPr="00F866F6">
        <w:rPr>
          <w:rFonts w:ascii="Arial" w:eastAsia="Arial" w:hAnsi="Arial" w:cs="Arial"/>
          <w:noProof/>
          <w:sz w:val="20"/>
          <w:szCs w:val="20"/>
          <w:lang w:val="en-US" w:eastAsia="en-US"/>
        </w:rPr>
        <w:t>and Functional basis to identify and manage those risks that are material to Citigroup and CBNA.</w:t>
      </w:r>
    </w:p>
    <w:p w14:paraId="1DC522A9" w14:textId="77777777" w:rsidR="00E15703" w:rsidRPr="00F866F6" w:rsidRDefault="00E15703" w:rsidP="00E15703">
      <w:p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Citi-wide Risk Identification (“Risk ID”) program, described in ERMF, complements the range of business-as-usual risk identification processes performed as part of day-to-day risk management. These business-as-usual processes, feed the Citi-wide Risk ID program and its key components: MRI, and Top and Emerging Risks.</w:t>
      </w:r>
    </w:p>
    <w:p w14:paraId="2ECF794C" w14:textId="77777777" w:rsidR="00E15703" w:rsidRPr="00F866F6" w:rsidRDefault="00E15703" w:rsidP="00E15703">
      <w:pPr>
        <w:rPr>
          <w:rFonts w:ascii="Arial" w:eastAsia="Arial" w:hAnsi="Arial" w:cs="Arial"/>
          <w:noProof/>
          <w:sz w:val="20"/>
          <w:szCs w:val="20"/>
          <w:lang w:val="en-US" w:eastAsia="en-US"/>
        </w:rPr>
      </w:pPr>
      <w:r w:rsidRPr="00F866F6">
        <w:rPr>
          <w:rFonts w:ascii="Arial" w:eastAsia="Arial" w:hAnsi="Arial" w:cs="Arial"/>
          <w:noProof/>
          <w:sz w:val="20"/>
          <w:szCs w:val="20"/>
          <w:lang w:val="en-US" w:eastAsia="en-US"/>
        </w:rPr>
        <w:t>The Enterprise Risk Identification Policy defines the requirements for the effective identification, measurement, aggregation, monitoring, reporting, and governance of the different Risk Types (Top, Material, Growing, Idiosyncratic and Emerging risks) across Citi’s Risk Taxonomy. Moreover, the Policy provides further detail, including the full set of roles and responsibilities and the connectivity of risk identification to other Enterprise-wide processes such as risk appetite, comprehensive capital analysis and review (“CCAR”), concentration risk management, and risk assessment of operating plan.</w:t>
      </w:r>
    </w:p>
    <w:p w14:paraId="686D3285" w14:textId="77777777" w:rsidR="00E15703" w:rsidRPr="00F866F6" w:rsidRDefault="00E15703" w:rsidP="00E15703">
      <w:pPr>
        <w:rPr>
          <w:rFonts w:ascii="Arial" w:eastAsia="Arial" w:hAnsi="Arial" w:cs="Arial"/>
          <w:noProof/>
          <w:sz w:val="20"/>
          <w:szCs w:val="20"/>
          <w:lang w:val="en-US" w:eastAsia="en-US"/>
        </w:rPr>
      </w:pPr>
    </w:p>
    <w:p w14:paraId="40381752" w14:textId="77777777" w:rsidR="00E15703" w:rsidRPr="00F866F6" w:rsidRDefault="00E15703" w:rsidP="00E15703">
      <w:pPr>
        <w:rPr>
          <w:rFonts w:ascii="Arial" w:eastAsia="Arial" w:hAnsi="Arial" w:cs="Arial"/>
          <w:noProof/>
          <w:sz w:val="20"/>
          <w:szCs w:val="20"/>
          <w:lang w:val="en-US" w:eastAsia="en-US"/>
        </w:rPr>
      </w:pPr>
    </w:p>
    <w:p w14:paraId="42E37A0F" w14:textId="77777777" w:rsidR="00E15703" w:rsidRPr="00F866F6" w:rsidRDefault="00E15703" w:rsidP="007D0EB4">
      <w:pPr>
        <w:pStyle w:val="Heading3"/>
        <w:numPr>
          <w:ilvl w:val="0"/>
          <w:numId w:val="36"/>
        </w:numPr>
        <w:ind w:left="720" w:hanging="180"/>
        <w:rPr>
          <w:color w:val="auto"/>
        </w:rPr>
      </w:pPr>
      <w:bookmarkStart w:id="138" w:name="_Toc135136727"/>
      <w:r w:rsidRPr="00F866F6">
        <w:rPr>
          <w:rFonts w:ascii="Arial" w:hAnsi="Arial" w:cs="Arial"/>
          <w:color w:val="auto"/>
        </w:rPr>
        <w:t>Risk Ap</w:t>
      </w:r>
      <w:bookmarkStart w:id="139" w:name="_Toc130808499"/>
      <w:r w:rsidRPr="00F866F6">
        <w:rPr>
          <w:rFonts w:ascii="Arial" w:hAnsi="Arial" w:cs="Arial"/>
          <w:color w:val="auto"/>
        </w:rPr>
        <w:t>petite and Limits</w:t>
      </w:r>
      <w:bookmarkEnd w:id="138"/>
      <w:bookmarkEnd w:id="139"/>
    </w:p>
    <w:p w14:paraId="2BCE600D" w14:textId="77777777" w:rsidR="00E15703" w:rsidRPr="00AC6A25" w:rsidRDefault="00E15703" w:rsidP="00E15703">
      <w:pPr>
        <w:rPr>
          <w:sz w:val="20"/>
          <w:szCs w:val="20"/>
        </w:rPr>
      </w:pPr>
      <w:r w:rsidRPr="00AC6A25">
        <w:rPr>
          <w:rFonts w:ascii="Arial" w:hAnsi="Arial" w:cs="Arial"/>
          <w:sz w:val="20"/>
          <w:szCs w:val="20"/>
        </w:rPr>
        <w:t xml:space="preserve">2.7.2.1 Risk Appetite </w:t>
      </w:r>
    </w:p>
    <w:p w14:paraId="27479AF5" w14:textId="77777777" w:rsidR="00E15703" w:rsidRPr="00F866F6" w:rsidRDefault="00E15703" w:rsidP="00E15703">
      <w:pPr>
        <w:pStyle w:val="Default"/>
        <w:jc w:val="both"/>
        <w:rPr>
          <w:bCs/>
          <w:color w:val="auto"/>
          <w:sz w:val="20"/>
          <w:szCs w:val="20"/>
        </w:rPr>
      </w:pPr>
      <w:r w:rsidRPr="00F866F6">
        <w:rPr>
          <w:bCs/>
          <w:color w:val="auto"/>
          <w:sz w:val="20"/>
          <w:szCs w:val="20"/>
        </w:rPr>
        <w:t>Risk appetite (RA) is the aggregate level and types of risk an entity is willing to take in order to meet its strategic objectives and business plan. The Legal Entity Governance and Risk Management Standard provide further details on the implementation of core principles, obligations, and governance requirements through which Risk Appetite is established, communicated and governed.</w:t>
      </w:r>
    </w:p>
    <w:p w14:paraId="01106061" w14:textId="77777777" w:rsidR="00E15703" w:rsidRDefault="00E15703" w:rsidP="00E15703">
      <w:pPr>
        <w:pStyle w:val="Default"/>
        <w:jc w:val="both"/>
        <w:rPr>
          <w:bCs/>
          <w:color w:val="auto"/>
          <w:sz w:val="20"/>
          <w:szCs w:val="20"/>
          <w:highlight w:val="yellow"/>
          <w:lang w:val="en-GB" w:bidi="en-US"/>
        </w:rPr>
      </w:pPr>
    </w:p>
    <w:p w14:paraId="6C4E25A1" w14:textId="77777777" w:rsidR="00E15703" w:rsidRPr="00D34853" w:rsidRDefault="00E15703" w:rsidP="00E15703">
      <w:pPr>
        <w:pStyle w:val="Default"/>
        <w:jc w:val="both"/>
        <w:rPr>
          <w:bCs/>
          <w:color w:val="auto"/>
          <w:sz w:val="20"/>
          <w:szCs w:val="20"/>
          <w:lang w:val="en-GB" w:bidi="en-US"/>
        </w:rPr>
      </w:pPr>
      <w:r w:rsidRPr="002206EE">
        <w:rPr>
          <w:bCs/>
          <w:color w:val="auto"/>
          <w:sz w:val="20"/>
          <w:szCs w:val="20"/>
          <w:lang w:val="en-GB" w:bidi="en-US"/>
        </w:rPr>
        <w:t xml:space="preserve">In accordance with Legal Entity Governance and Risk Management Standard, Citibank Uganda maintains a Risk Appetite that meets the requirements of both Citi’s </w:t>
      </w:r>
      <w:r w:rsidRPr="002206EE">
        <w:rPr>
          <w:color w:val="auto"/>
          <w:sz w:val="20"/>
          <w:szCs w:val="20"/>
          <w:lang w:val="en-GB" w:bidi="en-US"/>
        </w:rPr>
        <w:t>Policies</w:t>
      </w:r>
      <w:r w:rsidRPr="002206EE">
        <w:rPr>
          <w:bCs/>
          <w:color w:val="auto"/>
          <w:sz w:val="20"/>
          <w:szCs w:val="20"/>
          <w:lang w:val="en-GB" w:bidi="en-US"/>
        </w:rPr>
        <w:t xml:space="preserve"> and the applicable local regulations.</w:t>
      </w:r>
      <w:r w:rsidRPr="002206EE">
        <w:rPr>
          <w:bCs/>
          <w:color w:val="auto"/>
          <w:sz w:val="20"/>
          <w:szCs w:val="20"/>
        </w:rPr>
        <w:t xml:space="preserve"> Citibank Uganda adheres to the risk appetite requirements as per the Risk Management Guidelines, 2010 and Guidelines on Internal Capital Adequacy Assessment Process, 2023. </w:t>
      </w:r>
    </w:p>
    <w:p w14:paraId="0D067AC4" w14:textId="77777777" w:rsidR="00E15703" w:rsidRPr="00F866F6" w:rsidRDefault="00E15703" w:rsidP="00E15703">
      <w:pPr>
        <w:pStyle w:val="Default"/>
        <w:rPr>
          <w:bCs/>
          <w:color w:val="auto"/>
          <w:sz w:val="20"/>
          <w:szCs w:val="20"/>
          <w:lang w:val="en-GB" w:bidi="en-US"/>
        </w:rPr>
      </w:pPr>
    </w:p>
    <w:p w14:paraId="4CA07829" w14:textId="77777777" w:rsidR="00E15703" w:rsidRPr="00F866F6" w:rsidRDefault="00E15703" w:rsidP="00E15703">
      <w:pPr>
        <w:pStyle w:val="Default"/>
        <w:ind w:left="363"/>
        <w:jc w:val="both"/>
        <w:rPr>
          <w:bCs/>
          <w:color w:val="auto"/>
          <w:sz w:val="20"/>
          <w:szCs w:val="20"/>
          <w:lang w:val="en-GB"/>
        </w:rPr>
      </w:pPr>
    </w:p>
    <w:p w14:paraId="432E9742" w14:textId="77777777" w:rsidR="00E15703" w:rsidRPr="00F866F6" w:rsidRDefault="00E15703" w:rsidP="00E15703">
      <w:pPr>
        <w:pStyle w:val="Default"/>
        <w:jc w:val="both"/>
        <w:rPr>
          <w:bCs/>
          <w:color w:val="auto"/>
          <w:sz w:val="20"/>
          <w:szCs w:val="20"/>
        </w:rPr>
      </w:pPr>
      <w:r w:rsidRPr="00F866F6">
        <w:rPr>
          <w:bCs/>
          <w:color w:val="auto"/>
          <w:sz w:val="20"/>
          <w:szCs w:val="20"/>
        </w:rPr>
        <w:t>The Risk Appetite Statements consist of qualitative and quantitative components and cover, at a minimum, all Primary Risk Categories (see Section E Risk Categories). The Risk Appetite Policy and Risk Appetite Standard provide further detail on the implementation of core principles, obligations, and governance requirements through which risk appetite is established, communicated and governed.</w:t>
      </w:r>
    </w:p>
    <w:p w14:paraId="6D6D9B10" w14:textId="77777777" w:rsidR="00E15703" w:rsidRPr="00F866F6" w:rsidRDefault="00E15703" w:rsidP="00E15703">
      <w:pPr>
        <w:spacing w:before="0" w:after="160" w:line="259" w:lineRule="auto"/>
        <w:jc w:val="left"/>
        <w:rPr>
          <w:rFonts w:ascii="Arial" w:eastAsiaTheme="minorHAnsi" w:hAnsi="Arial" w:cs="Arial"/>
          <w:bCs/>
          <w:sz w:val="20"/>
          <w:szCs w:val="20"/>
          <w:lang w:val="en-US" w:eastAsia="en-US"/>
        </w:rPr>
      </w:pPr>
    </w:p>
    <w:p w14:paraId="20E297B8" w14:textId="77777777" w:rsidR="00E15703" w:rsidRPr="00F866F6" w:rsidRDefault="00E15703" w:rsidP="00E15703">
      <w:pPr>
        <w:pStyle w:val="Default"/>
        <w:jc w:val="both"/>
        <w:rPr>
          <w:bCs/>
          <w:color w:val="auto"/>
          <w:sz w:val="20"/>
          <w:szCs w:val="20"/>
          <w:lang w:val="en-GB" w:bidi="en-US"/>
        </w:rPr>
      </w:pPr>
      <w:r w:rsidRPr="00F866F6">
        <w:rPr>
          <w:bCs/>
          <w:color w:val="auto"/>
          <w:sz w:val="20"/>
          <w:szCs w:val="20"/>
          <w:lang w:val="en-GB" w:bidi="en-US"/>
        </w:rPr>
        <w:t xml:space="preserve">Citibank Uganda Limited’s RAS consists of a Combined Statement (with limits and thresholds) that articulates both qualitative and quantitative components across all applicable risk categories. The RAS articulates application of the risk appetite principles, implication of strategy considerations, and applicable risk pillars, inclusive of supporting risk metrics and / or key indicators and associated risk limits and thresholds. </w:t>
      </w:r>
    </w:p>
    <w:p w14:paraId="2FE33EB1" w14:textId="77777777" w:rsidR="00E15703" w:rsidRPr="00F866F6" w:rsidRDefault="00E15703" w:rsidP="00E15703">
      <w:pPr>
        <w:pStyle w:val="Default"/>
        <w:jc w:val="both"/>
        <w:rPr>
          <w:bCs/>
          <w:color w:val="auto"/>
          <w:sz w:val="20"/>
          <w:szCs w:val="20"/>
          <w:lang w:val="en-GB" w:bidi="en-US"/>
        </w:rPr>
      </w:pPr>
      <w:r w:rsidRPr="00F866F6">
        <w:rPr>
          <w:bCs/>
          <w:color w:val="auto"/>
          <w:sz w:val="20"/>
          <w:szCs w:val="20"/>
          <w:lang w:val="en-GB" w:bidi="en-US"/>
        </w:rPr>
        <w:t xml:space="preserve">These qualitative components are supported by risk metrics, key indicators, and the quantitative components of the RAS. </w:t>
      </w:r>
    </w:p>
    <w:p w14:paraId="3BE8E5C4" w14:textId="77777777" w:rsidR="00E15703" w:rsidRPr="00F866F6" w:rsidRDefault="00E15703" w:rsidP="00E15703">
      <w:pPr>
        <w:pStyle w:val="Default"/>
        <w:jc w:val="both"/>
        <w:rPr>
          <w:bCs/>
          <w:color w:val="auto"/>
          <w:sz w:val="20"/>
          <w:szCs w:val="20"/>
          <w:lang w:val="en-GB" w:bidi="en-US"/>
        </w:rPr>
      </w:pPr>
    </w:p>
    <w:p w14:paraId="70C36565" w14:textId="77777777" w:rsidR="00E15703" w:rsidRPr="00F866F6" w:rsidRDefault="00E15703" w:rsidP="00E15703">
      <w:pPr>
        <w:pStyle w:val="Default"/>
        <w:jc w:val="both"/>
        <w:rPr>
          <w:bCs/>
          <w:color w:val="auto"/>
          <w:sz w:val="20"/>
          <w:szCs w:val="20"/>
          <w:lang w:val="en-GB" w:bidi="en-US"/>
        </w:rPr>
      </w:pPr>
      <w:r w:rsidRPr="00F866F6">
        <w:rPr>
          <w:bCs/>
          <w:color w:val="auto"/>
          <w:sz w:val="20"/>
          <w:szCs w:val="20"/>
          <w:lang w:val="en-GB" w:bidi="en-US"/>
        </w:rPr>
        <w:t>The Citibank Uganda Limited RAS is updated and approved annually by Citibank Uganda Limited’s Board where the RAS is developed, reviewed, and approved in alignment with Strategic Planning / ICAAP / other process. On a quarterly basis, Citibank Uganda Limited Board receives an assessment of Citibank Uganda Limited’s risk profile against its approved risk appetite.</w:t>
      </w:r>
    </w:p>
    <w:p w14:paraId="1315C1B0" w14:textId="77777777" w:rsidR="00E15703" w:rsidRPr="00F866F6" w:rsidRDefault="00E15703" w:rsidP="00E15703">
      <w:pPr>
        <w:pStyle w:val="Default"/>
        <w:jc w:val="both"/>
        <w:rPr>
          <w:bCs/>
          <w:color w:val="auto"/>
          <w:sz w:val="20"/>
          <w:szCs w:val="20"/>
          <w:lang w:val="en-GB" w:bidi="en-US"/>
        </w:rPr>
      </w:pPr>
    </w:p>
    <w:p w14:paraId="44B4494A" w14:textId="77777777" w:rsidR="00E15703" w:rsidRDefault="00E15703" w:rsidP="00E15703">
      <w:pPr>
        <w:spacing w:before="0" w:after="160" w:line="259" w:lineRule="auto"/>
        <w:jc w:val="left"/>
        <w:rPr>
          <w:rFonts w:ascii="Arial" w:eastAsiaTheme="minorHAnsi" w:hAnsi="Arial" w:cs="Arial"/>
          <w:bCs/>
          <w:sz w:val="20"/>
          <w:szCs w:val="20"/>
          <w:lang w:eastAsia="en-US" w:bidi="en-US"/>
        </w:rPr>
      </w:pPr>
      <w:r w:rsidRPr="00F866F6">
        <w:rPr>
          <w:rFonts w:ascii="Arial" w:eastAsiaTheme="minorHAnsi" w:hAnsi="Arial" w:cs="Arial"/>
          <w:bCs/>
          <w:sz w:val="20"/>
          <w:szCs w:val="20"/>
          <w:lang w:eastAsia="en-US" w:bidi="en-US"/>
        </w:rPr>
        <w:t>When the risk profile exceeds the approved level of risk appetite for a given risk category, CCC and ALCO must be notified of risk category breach on a quarterly basis and breaches must be reported to the Board Risk Committee on a quarterly basis through regular committee(s) meeting reporting.</w:t>
      </w:r>
    </w:p>
    <w:p w14:paraId="536C793E" w14:textId="77777777" w:rsidR="00E15703" w:rsidRPr="00F866F6" w:rsidRDefault="00E15703" w:rsidP="00E15703">
      <w:pPr>
        <w:spacing w:before="0" w:after="160" w:line="259" w:lineRule="auto"/>
        <w:jc w:val="left"/>
        <w:rPr>
          <w:rFonts w:ascii="Arial" w:eastAsiaTheme="minorHAnsi" w:hAnsi="Arial" w:cs="Arial"/>
          <w:bCs/>
          <w:sz w:val="20"/>
          <w:szCs w:val="20"/>
          <w:lang w:eastAsia="en-US" w:bidi="en-US"/>
        </w:rPr>
      </w:pPr>
    </w:p>
    <w:p w14:paraId="037425CE" w14:textId="77777777" w:rsidR="00E15703" w:rsidRPr="00AC6A25" w:rsidRDefault="00E15703" w:rsidP="00E15703">
      <w:pPr>
        <w:pStyle w:val="Default"/>
        <w:jc w:val="both"/>
        <w:rPr>
          <w:bCs/>
          <w:iCs/>
          <w:color w:val="auto"/>
          <w:sz w:val="20"/>
          <w:szCs w:val="20"/>
        </w:rPr>
      </w:pPr>
      <w:r w:rsidRPr="00AC6A25">
        <w:rPr>
          <w:bCs/>
          <w:iCs/>
          <w:color w:val="auto"/>
          <w:sz w:val="20"/>
          <w:szCs w:val="20"/>
        </w:rPr>
        <w:t>2.7.2.2 Risk Limits and Thresholds</w:t>
      </w:r>
    </w:p>
    <w:p w14:paraId="19DB00FE" w14:textId="77777777" w:rsidR="00E15703" w:rsidRPr="00F866F6" w:rsidRDefault="00E15703" w:rsidP="00E15703">
      <w:pPr>
        <w:pStyle w:val="Default"/>
        <w:jc w:val="both"/>
        <w:rPr>
          <w:bCs/>
          <w:iCs/>
          <w:color w:val="auto"/>
          <w:sz w:val="20"/>
          <w:szCs w:val="20"/>
        </w:rPr>
      </w:pPr>
    </w:p>
    <w:p w14:paraId="01C1C9BF" w14:textId="77777777" w:rsidR="00E15703" w:rsidRPr="00F866F6" w:rsidRDefault="00E15703" w:rsidP="00E15703">
      <w:pPr>
        <w:pStyle w:val="Default"/>
        <w:jc w:val="both"/>
        <w:rPr>
          <w:bCs/>
          <w:color w:val="auto"/>
          <w:sz w:val="20"/>
          <w:szCs w:val="20"/>
        </w:rPr>
      </w:pPr>
      <w:r w:rsidRPr="00F866F6">
        <w:rPr>
          <w:color w:val="auto"/>
          <w:sz w:val="20"/>
          <w:szCs w:val="20"/>
        </w:rPr>
        <w:t>Citibank Uganda Limited</w:t>
      </w:r>
      <w:r w:rsidRPr="00F866F6">
        <w:rPr>
          <w:rFonts w:eastAsia="Arial"/>
          <w:color w:val="auto"/>
          <w:sz w:val="20"/>
          <w:szCs w:val="20"/>
        </w:rPr>
        <w:t xml:space="preserve"> </w:t>
      </w:r>
      <w:r w:rsidRPr="00F866F6">
        <w:rPr>
          <w:bCs/>
          <w:color w:val="auto"/>
          <w:sz w:val="20"/>
          <w:szCs w:val="20"/>
        </w:rPr>
        <w:t>risk limits are established and communicated through policy documents that outline requirements and responsibilities for limit setting, approval, monitoring and on the escalation and remediation of breaches on a timely basis. Limit frameworks provide a structural mechanism to monitor adherence to risk appetite and are a means to control the exposure. Citibank Uganda Limited’s RAS includes risk metrics and/or key indicators with associated limits and thresholds.</w:t>
      </w:r>
    </w:p>
    <w:p w14:paraId="02656414" w14:textId="77777777" w:rsidR="00E15703" w:rsidRPr="00F866F6" w:rsidRDefault="00E15703" w:rsidP="00E15703">
      <w:pPr>
        <w:pStyle w:val="Default"/>
        <w:jc w:val="both"/>
        <w:rPr>
          <w:bCs/>
          <w:color w:val="auto"/>
          <w:sz w:val="20"/>
          <w:szCs w:val="20"/>
        </w:rPr>
      </w:pPr>
    </w:p>
    <w:p w14:paraId="06BD15E2" w14:textId="77777777" w:rsidR="00E15703" w:rsidRPr="00F866F6" w:rsidRDefault="00E15703" w:rsidP="007D0EB4">
      <w:pPr>
        <w:pStyle w:val="Heading4"/>
        <w:numPr>
          <w:ilvl w:val="3"/>
          <w:numId w:val="45"/>
        </w:numPr>
        <w:rPr>
          <w:rFonts w:ascii="Arial" w:hAnsi="Arial" w:cs="Arial"/>
          <w:i w:val="0"/>
          <w:iCs w:val="0"/>
          <w:color w:val="auto"/>
        </w:rPr>
      </w:pPr>
      <w:r w:rsidRPr="00F866F6">
        <w:rPr>
          <w:rFonts w:ascii="Arial" w:hAnsi="Arial" w:cs="Arial"/>
          <w:i w:val="0"/>
          <w:iCs w:val="0"/>
          <w:color w:val="auto"/>
        </w:rPr>
        <w:t>Enterprise Concentration Risk Management</w:t>
      </w:r>
    </w:p>
    <w:p w14:paraId="1EFD3592" w14:textId="77777777" w:rsidR="00E15703" w:rsidRPr="00F866F6" w:rsidRDefault="00E15703" w:rsidP="00E15703">
      <w:pPr>
        <w:pStyle w:val="Default"/>
        <w:jc w:val="both"/>
        <w:rPr>
          <w:bCs/>
          <w:strike/>
          <w:color w:val="auto"/>
          <w:sz w:val="20"/>
          <w:szCs w:val="20"/>
          <w:lang w:bidi="en-US"/>
        </w:rPr>
      </w:pPr>
      <w:r w:rsidRPr="00F866F6">
        <w:rPr>
          <w:bCs/>
          <w:color w:val="auto"/>
          <w:sz w:val="20"/>
          <w:szCs w:val="20"/>
          <w:lang w:bidi="en-US"/>
        </w:rPr>
        <w:t>Citi has established the Enterprise Concentration Risk Management (“ECRM”) Policy, which defines concentration risk at the enterprise level and leverages quantitative metrics and qualitative criteria to identify concentration risk. The ECRM framework requires active participation of all Lines of Defense and effective processes to identify, measure, monitor, control, and report concentration risks in and across risk categories.</w:t>
      </w:r>
    </w:p>
    <w:p w14:paraId="72FCF646" w14:textId="77777777" w:rsidR="00E15703" w:rsidRPr="00F866F6" w:rsidRDefault="00E15703" w:rsidP="00E15703">
      <w:pPr>
        <w:pStyle w:val="Default"/>
        <w:jc w:val="both"/>
        <w:rPr>
          <w:bCs/>
          <w:iCs/>
          <w:color w:val="auto"/>
          <w:sz w:val="20"/>
          <w:szCs w:val="20"/>
        </w:rPr>
      </w:pPr>
    </w:p>
    <w:p w14:paraId="6D80DA0E" w14:textId="77777777" w:rsidR="00E15703" w:rsidRDefault="00E15703" w:rsidP="00E15703">
      <w:pPr>
        <w:pStyle w:val="Default"/>
        <w:spacing w:line="276" w:lineRule="auto"/>
        <w:jc w:val="both"/>
        <w:rPr>
          <w:color w:val="auto"/>
          <w:sz w:val="20"/>
          <w:szCs w:val="20"/>
          <w:lang w:val="en-GB" w:bidi="en-US"/>
        </w:rPr>
      </w:pPr>
      <w:r w:rsidRPr="007A0F6B">
        <w:rPr>
          <w:color w:val="auto"/>
          <w:sz w:val="20"/>
          <w:szCs w:val="20"/>
          <w:lang w:val="en-GB"/>
        </w:rPr>
        <w:t xml:space="preserve">Concentration risks are identified at Legal Entity level, with limits established as needed and included in regular monthly reports across Credit, Market (Trading and Non-Trading) and Liquidity Risks. The oversight and governance of </w:t>
      </w:r>
      <w:r w:rsidRPr="007A0F6B">
        <w:rPr>
          <w:color w:val="auto"/>
          <w:sz w:val="20"/>
          <w:szCs w:val="20"/>
          <w:lang w:val="en-GB" w:bidi="en-US"/>
        </w:rPr>
        <w:t xml:space="preserve">Citibank Uganda - </w:t>
      </w:r>
      <w:r w:rsidRPr="007A0F6B">
        <w:rPr>
          <w:color w:val="auto"/>
          <w:sz w:val="20"/>
          <w:szCs w:val="20"/>
          <w:lang w:val="en-GB"/>
        </w:rPr>
        <w:t xml:space="preserve">Concentration Risks </w:t>
      </w:r>
      <w:r w:rsidRPr="007A0F6B">
        <w:rPr>
          <w:color w:val="auto"/>
          <w:sz w:val="20"/>
          <w:szCs w:val="20"/>
          <w:lang w:val="en-GB" w:bidi="en-US"/>
        </w:rPr>
        <w:t>are reported</w:t>
      </w:r>
      <w:r w:rsidRPr="007A0F6B">
        <w:rPr>
          <w:color w:val="auto"/>
          <w:sz w:val="20"/>
          <w:szCs w:val="20"/>
          <w:lang w:val="en-GB"/>
        </w:rPr>
        <w:t xml:space="preserve"> to Management and to the B</w:t>
      </w:r>
      <w:r w:rsidRPr="007A0F6B">
        <w:rPr>
          <w:color w:val="auto"/>
          <w:sz w:val="20"/>
          <w:szCs w:val="20"/>
          <w:lang w:val="en-GB" w:bidi="en-US"/>
        </w:rPr>
        <w:t>oard</w:t>
      </w:r>
      <w:bookmarkStart w:id="140" w:name="_Toc135136728"/>
      <w:r w:rsidRPr="007A0F6B">
        <w:rPr>
          <w:color w:val="auto"/>
          <w:sz w:val="20"/>
          <w:szCs w:val="20"/>
          <w:lang w:val="en-GB" w:bidi="en-US"/>
        </w:rPr>
        <w:t xml:space="preserve"> through the Board Risk Committee.</w:t>
      </w:r>
      <w:r>
        <w:rPr>
          <w:color w:val="auto"/>
          <w:sz w:val="20"/>
          <w:szCs w:val="20"/>
          <w:lang w:val="en-GB" w:bidi="en-US"/>
        </w:rPr>
        <w:t xml:space="preserve"> </w:t>
      </w:r>
    </w:p>
    <w:p w14:paraId="033A4A65" w14:textId="77777777" w:rsidR="00E15703" w:rsidRDefault="00E15703" w:rsidP="00E15703">
      <w:pPr>
        <w:pStyle w:val="Default"/>
        <w:spacing w:line="276" w:lineRule="auto"/>
        <w:jc w:val="both"/>
        <w:rPr>
          <w:color w:val="auto"/>
          <w:sz w:val="20"/>
          <w:szCs w:val="20"/>
          <w:lang w:val="en-GB" w:bidi="en-US"/>
        </w:rPr>
      </w:pPr>
    </w:p>
    <w:p w14:paraId="6E44A92E" w14:textId="77777777" w:rsidR="00E15703" w:rsidRPr="00F6618E" w:rsidRDefault="00E15703" w:rsidP="00E15703">
      <w:pPr>
        <w:pStyle w:val="Default"/>
        <w:spacing w:line="276" w:lineRule="auto"/>
        <w:jc w:val="both"/>
        <w:rPr>
          <w:color w:val="auto"/>
        </w:rPr>
      </w:pPr>
      <w:r w:rsidRPr="00F6618E">
        <w:rPr>
          <w:color w:val="auto"/>
        </w:rPr>
        <w:t>Stress Testing</w:t>
      </w:r>
      <w:bookmarkEnd w:id="140"/>
      <w:r w:rsidRPr="00F6618E">
        <w:rPr>
          <w:color w:val="auto"/>
        </w:rPr>
        <w:t xml:space="preserve"> </w:t>
      </w:r>
    </w:p>
    <w:p w14:paraId="5B1B3529" w14:textId="77777777" w:rsidR="00E15703" w:rsidRPr="00F866F6" w:rsidRDefault="00E15703" w:rsidP="00E15703">
      <w:pPr>
        <w:rPr>
          <w:rFonts w:ascii="Arial" w:hAnsi="Arial" w:cs="Arial"/>
          <w:sz w:val="20"/>
          <w:szCs w:val="20"/>
        </w:rPr>
      </w:pPr>
      <w:bookmarkStart w:id="141" w:name="_Toc130808501"/>
      <w:bookmarkEnd w:id="141"/>
      <w:r w:rsidRPr="00F866F6">
        <w:rPr>
          <w:rFonts w:ascii="Arial" w:hAnsi="Arial" w:cs="Arial"/>
          <w:sz w:val="20"/>
          <w:szCs w:val="20"/>
        </w:rPr>
        <w:t>Enterprise Stress testing is carried out by Citigroup / CBNA.</w:t>
      </w:r>
    </w:p>
    <w:p w14:paraId="3DD34295" w14:textId="77777777" w:rsidR="00E15703" w:rsidRPr="00F866F6" w:rsidRDefault="00E15703" w:rsidP="00E15703">
      <w:pPr>
        <w:rPr>
          <w:rFonts w:ascii="Arial" w:hAnsi="Arial" w:cs="Arial"/>
          <w:sz w:val="20"/>
          <w:szCs w:val="20"/>
        </w:rPr>
      </w:pPr>
      <w:r w:rsidRPr="00F866F6">
        <w:rPr>
          <w:rFonts w:ascii="Arial" w:hAnsi="Arial" w:cs="Arial"/>
          <w:sz w:val="20"/>
          <w:szCs w:val="20"/>
        </w:rPr>
        <w:t>Risk measurement, including stress testing is an integral component that support risk management and capital and liquidity planning. Stress tests are forward-looking assessments of the potential impact of various adverse events and circumstances on Citi.</w:t>
      </w:r>
    </w:p>
    <w:p w14:paraId="6CAE1C0D" w14:textId="77777777" w:rsidR="00E15703" w:rsidRPr="00F866F6" w:rsidRDefault="00E15703" w:rsidP="00E15703">
      <w:pPr>
        <w:widowControl w:val="0"/>
        <w:spacing w:after="120"/>
        <w:rPr>
          <w:rFonts w:ascii="Arial" w:hAnsi="Arial" w:cs="Arial"/>
          <w:sz w:val="20"/>
          <w:szCs w:val="20"/>
        </w:rPr>
      </w:pPr>
      <w:r w:rsidRPr="00F866F6">
        <w:rPr>
          <w:rFonts w:ascii="Arial" w:hAnsi="Arial" w:cs="Arial"/>
          <w:sz w:val="20"/>
          <w:szCs w:val="20"/>
        </w:rPr>
        <w:t>The Citi Enterprise Stress Testing Policy (“ESTP”) established the framework for evaluating the impact of the adverse and/or stress events and circumstances on Citi’s operations and financial condition. Citibank Uganda</w:t>
      </w:r>
      <w:r w:rsidRPr="00F866F6">
        <w:rPr>
          <w:rFonts w:ascii="Arial" w:eastAsia="Arial" w:hAnsi="Arial" w:cs="Arial"/>
          <w:sz w:val="20"/>
          <w:szCs w:val="20"/>
        </w:rPr>
        <w:t xml:space="preserve"> </w:t>
      </w:r>
      <w:r w:rsidRPr="00F866F6">
        <w:rPr>
          <w:rFonts w:ascii="Arial" w:hAnsi="Arial" w:cs="Arial"/>
          <w:sz w:val="20"/>
          <w:szCs w:val="20"/>
        </w:rPr>
        <w:t>contributes to the ESTP and its Transition Plan (Appendix E of ESTP) with respect to stress testing capabilities, particularly in reference to single risk, multi risk, and integrated risk scenarios as well as principles and roles and responsibilities relating to stress testing.</w:t>
      </w:r>
    </w:p>
    <w:p w14:paraId="6E771B53" w14:textId="77777777" w:rsidR="00E15703" w:rsidRPr="00F866F6" w:rsidRDefault="00E15703" w:rsidP="00E15703">
      <w:pPr>
        <w:widowControl w:val="0"/>
        <w:spacing w:after="120"/>
        <w:rPr>
          <w:rFonts w:ascii="Arial" w:hAnsi="Arial" w:cs="Arial"/>
          <w:sz w:val="20"/>
          <w:szCs w:val="20"/>
        </w:rPr>
      </w:pPr>
      <w:r w:rsidRPr="00F866F6">
        <w:rPr>
          <w:rFonts w:ascii="Arial" w:hAnsi="Arial" w:cs="Arial"/>
          <w:sz w:val="20"/>
          <w:szCs w:val="20"/>
        </w:rPr>
        <w:t xml:space="preserve">Citi performs different stress tests at enterprise, legal </w:t>
      </w:r>
      <w:proofErr w:type="gramStart"/>
      <w:r w:rsidRPr="00F866F6">
        <w:rPr>
          <w:rFonts w:ascii="Arial" w:hAnsi="Arial" w:cs="Arial"/>
          <w:sz w:val="20"/>
          <w:szCs w:val="20"/>
        </w:rPr>
        <w:t>entity</w:t>
      </w:r>
      <w:proofErr w:type="gramEnd"/>
      <w:r w:rsidRPr="00F866F6">
        <w:rPr>
          <w:rFonts w:ascii="Arial" w:hAnsi="Arial" w:cs="Arial"/>
          <w:sz w:val="20"/>
          <w:szCs w:val="20"/>
        </w:rPr>
        <w:t xml:space="preserve"> and risk pool levels. Citi defines two types of stress tests including:</w:t>
      </w:r>
    </w:p>
    <w:p w14:paraId="6A60420D" w14:textId="77777777" w:rsidR="00E15703" w:rsidRPr="00F866F6" w:rsidRDefault="00E15703" w:rsidP="00E15703">
      <w:pPr>
        <w:pStyle w:val="ListParagraph"/>
        <w:widowControl w:val="0"/>
        <w:numPr>
          <w:ilvl w:val="0"/>
          <w:numId w:val="3"/>
        </w:numPr>
        <w:spacing w:after="120"/>
        <w:rPr>
          <w:rFonts w:ascii="Arial" w:hAnsi="Arial" w:cs="Arial"/>
          <w:sz w:val="20"/>
          <w:szCs w:val="20"/>
        </w:rPr>
      </w:pPr>
      <w:r w:rsidRPr="00F866F6">
        <w:rPr>
          <w:rFonts w:ascii="Arial" w:hAnsi="Arial" w:cs="Arial"/>
          <w:sz w:val="20"/>
          <w:szCs w:val="20"/>
        </w:rPr>
        <w:t>Multi-risk: Stress tests covering more than one Risk Category, as defined in the Citi Risk Taxonomy</w:t>
      </w:r>
    </w:p>
    <w:p w14:paraId="09D2D327" w14:textId="77777777" w:rsidR="00E15703" w:rsidRPr="00F866F6" w:rsidRDefault="00E15703" w:rsidP="00E15703">
      <w:pPr>
        <w:pStyle w:val="ListParagraph"/>
        <w:widowControl w:val="0"/>
        <w:numPr>
          <w:ilvl w:val="0"/>
          <w:numId w:val="3"/>
        </w:numPr>
        <w:spacing w:after="120"/>
        <w:rPr>
          <w:rFonts w:ascii="Arial" w:hAnsi="Arial" w:cs="Arial"/>
          <w:sz w:val="20"/>
          <w:szCs w:val="20"/>
        </w:rPr>
      </w:pPr>
      <w:r w:rsidRPr="00F866F6">
        <w:rPr>
          <w:rFonts w:ascii="Arial" w:hAnsi="Arial" w:cs="Arial"/>
          <w:sz w:val="20"/>
          <w:szCs w:val="20"/>
        </w:rPr>
        <w:t>Single-risk: Stress tests covering a single Risk Category</w:t>
      </w:r>
    </w:p>
    <w:p w14:paraId="77FB3E41" w14:textId="77777777" w:rsidR="00E15703" w:rsidRPr="00F866F6" w:rsidRDefault="00E15703" w:rsidP="00E15703">
      <w:pPr>
        <w:widowControl w:val="0"/>
        <w:spacing w:after="120"/>
        <w:rPr>
          <w:rFonts w:ascii="Arial" w:hAnsi="Arial" w:cs="Arial"/>
          <w:sz w:val="20"/>
          <w:szCs w:val="20"/>
        </w:rPr>
      </w:pPr>
      <w:r w:rsidRPr="00F866F6">
        <w:rPr>
          <w:rFonts w:ascii="Arial" w:hAnsi="Arial" w:cs="Arial"/>
          <w:sz w:val="20"/>
          <w:szCs w:val="20"/>
        </w:rPr>
        <w:t>Further details on the methodology and responsibilities can be found in the Enterprise Stress Testing Policy and ERMF.</w:t>
      </w:r>
    </w:p>
    <w:p w14:paraId="7C904190" w14:textId="77777777" w:rsidR="00E15703" w:rsidRPr="00F866F6" w:rsidRDefault="00E15703" w:rsidP="00E15703">
      <w:pPr>
        <w:widowControl w:val="0"/>
        <w:spacing w:after="120"/>
        <w:rPr>
          <w:rFonts w:ascii="Arial" w:hAnsi="Arial" w:cs="Arial"/>
          <w:sz w:val="20"/>
          <w:szCs w:val="20"/>
        </w:rPr>
      </w:pPr>
      <w:r w:rsidRPr="00F866F6">
        <w:rPr>
          <w:rFonts w:ascii="Arial" w:hAnsi="Arial" w:cs="Arial"/>
          <w:sz w:val="20"/>
          <w:szCs w:val="20"/>
        </w:rPr>
        <w:t>Enterprise stress tests are conducted at a consolidated Group level and consider both material risks and emerging risks.</w:t>
      </w:r>
    </w:p>
    <w:p w14:paraId="45303E8D" w14:textId="77777777" w:rsidR="00E15703" w:rsidRPr="00F866F6" w:rsidRDefault="00E15703" w:rsidP="00E15703">
      <w:pPr>
        <w:widowControl w:val="0"/>
        <w:spacing w:after="120"/>
        <w:rPr>
          <w:rFonts w:ascii="Arial" w:hAnsi="Arial" w:cs="Arial"/>
          <w:sz w:val="20"/>
          <w:szCs w:val="20"/>
        </w:rPr>
      </w:pPr>
      <w:r w:rsidRPr="00F866F6">
        <w:rPr>
          <w:rFonts w:ascii="Arial" w:hAnsi="Arial" w:cs="Arial"/>
          <w:sz w:val="20"/>
          <w:szCs w:val="20"/>
        </w:rPr>
        <w:t>Stress testing results provide analysis and decision-making for a particular use:</w:t>
      </w:r>
    </w:p>
    <w:p w14:paraId="66DC9032" w14:textId="77777777" w:rsidR="00E15703" w:rsidRPr="00F866F6" w:rsidRDefault="00E15703" w:rsidP="00E15703">
      <w:pPr>
        <w:pStyle w:val="ListParagraph"/>
        <w:widowControl w:val="0"/>
        <w:numPr>
          <w:ilvl w:val="0"/>
          <w:numId w:val="4"/>
        </w:numPr>
        <w:spacing w:after="120"/>
        <w:rPr>
          <w:rFonts w:ascii="Arial" w:hAnsi="Arial" w:cs="Arial"/>
          <w:sz w:val="20"/>
          <w:szCs w:val="20"/>
        </w:rPr>
      </w:pPr>
      <w:r w:rsidRPr="00F866F6">
        <w:rPr>
          <w:rFonts w:ascii="Arial" w:hAnsi="Arial" w:cs="Arial"/>
          <w:sz w:val="20"/>
          <w:szCs w:val="20"/>
        </w:rPr>
        <w:t>Business-as-usual risk management: Risk identification, measurement and mitigation including limit monitoring.</w:t>
      </w:r>
    </w:p>
    <w:p w14:paraId="3694BA5D" w14:textId="77777777" w:rsidR="00E15703" w:rsidRPr="00F866F6" w:rsidRDefault="00E15703" w:rsidP="00E15703">
      <w:pPr>
        <w:pStyle w:val="ListParagraph"/>
        <w:widowControl w:val="0"/>
        <w:numPr>
          <w:ilvl w:val="0"/>
          <w:numId w:val="4"/>
        </w:numPr>
        <w:spacing w:after="120"/>
        <w:rPr>
          <w:rFonts w:ascii="Arial" w:hAnsi="Arial" w:cs="Arial"/>
          <w:sz w:val="20"/>
          <w:szCs w:val="20"/>
        </w:rPr>
      </w:pPr>
      <w:r w:rsidRPr="00F866F6">
        <w:rPr>
          <w:rFonts w:ascii="Arial" w:hAnsi="Arial" w:cs="Arial"/>
          <w:sz w:val="20"/>
          <w:szCs w:val="20"/>
        </w:rPr>
        <w:t>Strategic and operating planning: Impact on business line profitability to inform business strategy.</w:t>
      </w:r>
    </w:p>
    <w:p w14:paraId="02BE405B" w14:textId="77777777" w:rsidR="00E15703" w:rsidRPr="00F866F6" w:rsidRDefault="00E15703" w:rsidP="00E15703">
      <w:pPr>
        <w:pStyle w:val="ListParagraph"/>
        <w:widowControl w:val="0"/>
        <w:numPr>
          <w:ilvl w:val="0"/>
          <w:numId w:val="4"/>
        </w:numPr>
        <w:spacing w:after="120"/>
        <w:rPr>
          <w:rFonts w:ascii="Arial" w:hAnsi="Arial" w:cs="Arial"/>
          <w:sz w:val="20"/>
          <w:szCs w:val="20"/>
        </w:rPr>
      </w:pPr>
      <w:r w:rsidRPr="00F866F6">
        <w:rPr>
          <w:rFonts w:ascii="Arial" w:hAnsi="Arial" w:cs="Arial"/>
          <w:sz w:val="20"/>
          <w:szCs w:val="20"/>
        </w:rPr>
        <w:t>Capital adequacy assessment and planning: Assessment of metrics used to define, measure, monitor, and govern capital management.</w:t>
      </w:r>
    </w:p>
    <w:p w14:paraId="57B789DF" w14:textId="77777777" w:rsidR="00E15703" w:rsidRPr="00F866F6" w:rsidRDefault="00E15703" w:rsidP="00E15703">
      <w:pPr>
        <w:pStyle w:val="ListParagraph"/>
        <w:widowControl w:val="0"/>
        <w:numPr>
          <w:ilvl w:val="0"/>
          <w:numId w:val="4"/>
        </w:numPr>
        <w:spacing w:after="120"/>
        <w:rPr>
          <w:rFonts w:ascii="Arial" w:hAnsi="Arial" w:cs="Arial"/>
          <w:sz w:val="20"/>
          <w:szCs w:val="20"/>
        </w:rPr>
      </w:pPr>
      <w:r w:rsidRPr="00F866F6">
        <w:rPr>
          <w:rFonts w:ascii="Arial" w:hAnsi="Arial" w:cs="Arial"/>
          <w:sz w:val="20"/>
          <w:szCs w:val="20"/>
        </w:rPr>
        <w:t>Liquidity adequacy assessment and planning: Assessment of metrics used to define, measure, limit, and report the firm’s liquidity position to ensure the firm is maintaining sufficient liquidity resources to meeting its liquidity goals.</w:t>
      </w:r>
    </w:p>
    <w:p w14:paraId="37310D4D" w14:textId="77777777" w:rsidR="00E15703" w:rsidRPr="00F866F6" w:rsidRDefault="00E15703" w:rsidP="00E15703">
      <w:pPr>
        <w:pStyle w:val="ListParagraph"/>
        <w:widowControl w:val="0"/>
        <w:numPr>
          <w:ilvl w:val="0"/>
          <w:numId w:val="4"/>
        </w:numPr>
        <w:spacing w:after="120"/>
        <w:rPr>
          <w:rFonts w:ascii="Arial" w:hAnsi="Arial" w:cs="Arial"/>
          <w:sz w:val="20"/>
          <w:szCs w:val="20"/>
        </w:rPr>
      </w:pPr>
      <w:r w:rsidRPr="00F866F6">
        <w:rPr>
          <w:rFonts w:ascii="Arial" w:hAnsi="Arial" w:cs="Arial"/>
          <w:sz w:val="20"/>
          <w:szCs w:val="20"/>
        </w:rPr>
        <w:t>Recovery and resolution planning: Definition of triggers and actions over the stress continuum (e.g., recovery, runway, stabilization).</w:t>
      </w:r>
    </w:p>
    <w:p w14:paraId="6FD812EB" w14:textId="77777777" w:rsidR="00E15703" w:rsidRPr="00F6618E" w:rsidRDefault="00E15703" w:rsidP="00E15703">
      <w:pPr>
        <w:rPr>
          <w:rFonts w:ascii="Arial" w:hAnsi="Arial" w:cs="Arial"/>
          <w:sz w:val="20"/>
          <w:szCs w:val="20"/>
        </w:rPr>
      </w:pPr>
    </w:p>
    <w:p w14:paraId="4F5ABA4E" w14:textId="77777777" w:rsidR="00E15703" w:rsidRPr="00F6618E" w:rsidRDefault="00E15703" w:rsidP="00E15703"/>
    <w:p w14:paraId="66AA22C4" w14:textId="77777777" w:rsidR="00E15703" w:rsidRPr="00F6618E" w:rsidRDefault="00E15703" w:rsidP="007D0EB4">
      <w:pPr>
        <w:pStyle w:val="Heading3"/>
        <w:numPr>
          <w:ilvl w:val="0"/>
          <w:numId w:val="37"/>
        </w:numPr>
        <w:ind w:left="900"/>
        <w:rPr>
          <w:color w:val="auto"/>
        </w:rPr>
      </w:pPr>
      <w:bookmarkStart w:id="142" w:name="_Toc135136729"/>
      <w:r w:rsidRPr="00F6618E">
        <w:rPr>
          <w:rFonts w:ascii="Arial" w:hAnsi="Arial" w:cs="Arial"/>
          <w:color w:val="auto"/>
        </w:rPr>
        <w:t>Strategic Planning</w:t>
      </w:r>
      <w:bookmarkEnd w:id="142"/>
      <w:r w:rsidRPr="00F6618E">
        <w:rPr>
          <w:color w:val="auto"/>
        </w:rPr>
        <w:t xml:space="preserve"> </w:t>
      </w:r>
    </w:p>
    <w:p w14:paraId="2804B0A4" w14:textId="77777777" w:rsidR="00E15703" w:rsidRPr="00F6618E" w:rsidRDefault="00E15703" w:rsidP="00E15703">
      <w:pPr>
        <w:rPr>
          <w:rFonts w:ascii="Arial" w:eastAsia="Arial" w:hAnsi="Arial" w:cs="Arial"/>
          <w:noProof/>
          <w:sz w:val="20"/>
          <w:szCs w:val="20"/>
          <w:lang w:val="en-US" w:eastAsia="en-US"/>
        </w:rPr>
      </w:pPr>
      <w:bookmarkStart w:id="143" w:name="_Toc130808503"/>
      <w:bookmarkEnd w:id="143"/>
      <w:r w:rsidRPr="00F6618E">
        <w:rPr>
          <w:rFonts w:ascii="Arial" w:eastAsia="Arial" w:hAnsi="Arial" w:cs="Arial"/>
          <w:noProof/>
          <w:color w:val="000000"/>
          <w:sz w:val="20"/>
          <w:szCs w:val="20"/>
          <w:lang w:val="en-US" w:eastAsia="en-US"/>
        </w:rPr>
        <w:t xml:space="preserve">Citi Executive Management, with Citigroup’s CEO as the lead, are ultimately responsible for the development and execution of the strategy of the firm. The Citigroup Board is responsible for overseeing Management’s execution of the strategy. Citi’s strategy and decisions taken to achieve the strategy </w:t>
      </w:r>
      <w:r w:rsidRPr="00F6618E">
        <w:rPr>
          <w:rFonts w:ascii="Arial" w:eastAsia="Arial" w:hAnsi="Arial" w:cs="Arial"/>
          <w:noProof/>
          <w:sz w:val="20"/>
          <w:szCs w:val="20"/>
          <w:lang w:val="en-US" w:eastAsia="en-US"/>
        </w:rPr>
        <w:t>are consistent with the firm’s risk appetite.</w:t>
      </w:r>
    </w:p>
    <w:p w14:paraId="56F94B95" w14:textId="77777777" w:rsidR="00E15703" w:rsidRPr="00F6618E" w:rsidRDefault="00E15703" w:rsidP="00E15703">
      <w:pPr>
        <w:rPr>
          <w:rFonts w:ascii="Arial" w:hAnsi="Arial" w:cs="Arial"/>
          <w:color w:val="000000" w:themeColor="text1"/>
          <w:sz w:val="20"/>
          <w:szCs w:val="20"/>
        </w:rPr>
      </w:pPr>
      <w:r w:rsidRPr="00F6618E">
        <w:rPr>
          <w:rFonts w:ascii="Arial" w:hAnsi="Arial" w:cs="Arial"/>
          <w:color w:val="000000" w:themeColor="text1"/>
          <w:sz w:val="20"/>
          <w:szCs w:val="20"/>
        </w:rPr>
        <w:t>Each year, Citibank Uganda Limited conducts a Legal Entity strategic planning process, which is closely linked with the capital planning process, and develops a Strategic Plan. In order to achieve its strategic objectives, Citibank Uganda Limited will need to assume a certain level of risk and Citibank Uganda Limited’s risk profile and risk appetite are key considerations in the strategic planning process. The Legal Entity strategic plan is aligned with the overall Group Strategic Plan. Further information on the principles related to Strategic Planning and roles and responsibilities can be found in the ERMF.</w:t>
      </w:r>
    </w:p>
    <w:p w14:paraId="34D58253" w14:textId="77777777" w:rsidR="00E15703" w:rsidRPr="00F6618E" w:rsidRDefault="00E15703" w:rsidP="00E15703">
      <w:pPr>
        <w:rPr>
          <w:rFonts w:ascii="Arial" w:hAnsi="Arial" w:cs="Arial"/>
          <w:color w:val="000000" w:themeColor="text1"/>
          <w:sz w:val="20"/>
          <w:szCs w:val="20"/>
        </w:rPr>
      </w:pPr>
      <w:r w:rsidRPr="00F6618E">
        <w:rPr>
          <w:rFonts w:ascii="Arial" w:hAnsi="Arial" w:cs="Arial"/>
          <w:color w:val="000000" w:themeColor="text1"/>
          <w:sz w:val="20"/>
          <w:szCs w:val="20"/>
        </w:rPr>
        <w:t>The Citibank Uganda Limited Board reviews and approves the plan annually.</w:t>
      </w:r>
    </w:p>
    <w:p w14:paraId="7DF572E7" w14:textId="77777777" w:rsidR="00E15703" w:rsidRPr="00F6618E" w:rsidRDefault="00E15703" w:rsidP="00E15703">
      <w:pPr>
        <w:rPr>
          <w:rFonts w:ascii="Arial" w:eastAsia="Arial" w:hAnsi="Arial" w:cs="Arial"/>
          <w:noProof/>
          <w:sz w:val="20"/>
          <w:szCs w:val="20"/>
          <w:lang w:val="en-US" w:eastAsia="en-US"/>
        </w:rPr>
      </w:pPr>
    </w:p>
    <w:p w14:paraId="4C46166E" w14:textId="77777777" w:rsidR="00E15703" w:rsidRPr="00F6618E" w:rsidRDefault="00E15703" w:rsidP="007D0EB4">
      <w:pPr>
        <w:pStyle w:val="Heading3"/>
        <w:numPr>
          <w:ilvl w:val="0"/>
          <w:numId w:val="38"/>
        </w:numPr>
        <w:ind w:left="900"/>
        <w:rPr>
          <w:rFonts w:ascii="Arial" w:hAnsi="Arial" w:cs="Arial"/>
          <w:color w:val="auto"/>
        </w:rPr>
      </w:pPr>
      <w:bookmarkStart w:id="144" w:name="_Toc135136730"/>
      <w:r w:rsidRPr="00F6618E">
        <w:rPr>
          <w:rFonts w:ascii="Arial" w:hAnsi="Arial" w:cs="Arial"/>
          <w:color w:val="auto"/>
        </w:rPr>
        <w:t>New Activities Approval</w:t>
      </w:r>
      <w:bookmarkEnd w:id="144"/>
    </w:p>
    <w:p w14:paraId="37D76662" w14:textId="77777777" w:rsidR="00E15703" w:rsidRPr="00F866F6" w:rsidRDefault="00E15703" w:rsidP="00E15703">
      <w:pPr>
        <w:rPr>
          <w:rFonts w:ascii="Arial" w:hAnsi="Arial" w:cs="Arial"/>
          <w:sz w:val="20"/>
          <w:szCs w:val="20"/>
        </w:rPr>
      </w:pPr>
      <w:bookmarkStart w:id="145" w:name="_Toc130808505"/>
      <w:bookmarkEnd w:id="145"/>
      <w:r w:rsidRPr="00F866F6">
        <w:rPr>
          <w:rFonts w:ascii="Arial" w:hAnsi="Arial" w:cs="Arial"/>
          <w:sz w:val="20"/>
          <w:szCs w:val="20"/>
        </w:rPr>
        <w:t>In order to successfully serve clients and achieve commercial goals, Citi must be responsive to changing circumstances. This may require Citi to review and approve any new or modified business activity that impacts clients, counterparties or partners, in relation to Citi products, services, capabilities, and business operating model, platforms, and other aspects of our business that affect our client interactions. A new activities approval process is in place across Citi, and applies to all entities, in order to ensure that the risks of a proposed new activity have been appropriately characterized and the mitigating control environment is adequate. Further details including roles and responsibilities can be found in the ERMF and the New Activity Policy.</w:t>
      </w:r>
    </w:p>
    <w:p w14:paraId="5D7F9112" w14:textId="77777777" w:rsidR="00E15703" w:rsidRPr="00F6618E" w:rsidRDefault="00E15703" w:rsidP="00E15703">
      <w:pPr>
        <w:rPr>
          <w:rFonts w:ascii="Arial" w:eastAsia="Arial" w:hAnsi="Arial" w:cs="Arial"/>
          <w:noProof/>
          <w:sz w:val="20"/>
          <w:szCs w:val="20"/>
          <w:lang w:val="en-US" w:eastAsia="en-US"/>
        </w:rPr>
      </w:pPr>
    </w:p>
    <w:p w14:paraId="01ED46B8" w14:textId="77777777" w:rsidR="00E15703" w:rsidRPr="00F6618E" w:rsidRDefault="00E15703" w:rsidP="00E15703"/>
    <w:p w14:paraId="06BEB8E5" w14:textId="77777777" w:rsidR="00E15703" w:rsidRPr="00F6618E" w:rsidRDefault="00E15703" w:rsidP="007D0EB4">
      <w:pPr>
        <w:pStyle w:val="Heading2"/>
        <w:numPr>
          <w:ilvl w:val="0"/>
          <w:numId w:val="17"/>
        </w:numPr>
        <w:ind w:left="540" w:hanging="540"/>
        <w:rPr>
          <w:rFonts w:ascii="Arial" w:hAnsi="Arial" w:cs="Arial"/>
          <w:b/>
          <w:bCs/>
          <w:color w:val="auto"/>
          <w:sz w:val="24"/>
          <w:szCs w:val="24"/>
        </w:rPr>
      </w:pPr>
      <w:bookmarkStart w:id="146" w:name="_Toc130808507"/>
      <w:bookmarkStart w:id="147" w:name="_Toc135136734"/>
      <w:r w:rsidRPr="00F6618E">
        <w:rPr>
          <w:rFonts w:ascii="Arial" w:hAnsi="Arial" w:cs="Arial"/>
          <w:b/>
          <w:bCs/>
          <w:color w:val="auto"/>
          <w:sz w:val="24"/>
          <w:szCs w:val="24"/>
        </w:rPr>
        <w:t>Supporting Capabilities</w:t>
      </w:r>
      <w:bookmarkEnd w:id="146"/>
      <w:bookmarkEnd w:id="147"/>
    </w:p>
    <w:p w14:paraId="5DC7D793" w14:textId="77777777" w:rsidR="00E15703" w:rsidRPr="00F6618E" w:rsidRDefault="00E15703" w:rsidP="00E15703">
      <w:pPr>
        <w:rPr>
          <w:rFonts w:ascii="Arial" w:hAnsi="Arial" w:cs="Arial"/>
          <w:sz w:val="20"/>
          <w:szCs w:val="20"/>
        </w:rPr>
      </w:pPr>
      <w:r w:rsidRPr="00F6618E">
        <w:rPr>
          <w:rFonts w:ascii="Arial" w:hAnsi="Arial" w:cs="Arial"/>
          <w:sz w:val="20"/>
          <w:szCs w:val="20"/>
        </w:rPr>
        <w:t>In order to ensure effective enterprise-wide risk management across Citi, the Enterprise Risk Management Function, in coordination with HR, Enterprise, Operations &amp; Technology, Legal and other key functions, facilitates several supporting capabilities.</w:t>
      </w:r>
    </w:p>
    <w:p w14:paraId="56A5FD94" w14:textId="77777777" w:rsidR="00E15703" w:rsidRPr="00F6618E" w:rsidRDefault="00E15703" w:rsidP="00E15703">
      <w:pPr>
        <w:rPr>
          <w:rFonts w:ascii="Arial" w:hAnsi="Arial" w:cs="Arial"/>
          <w:sz w:val="20"/>
          <w:szCs w:val="20"/>
        </w:rPr>
      </w:pPr>
    </w:p>
    <w:p w14:paraId="38FE09DB" w14:textId="77777777" w:rsidR="00E15703" w:rsidRPr="00F6618E" w:rsidRDefault="00E15703" w:rsidP="007D0EB4">
      <w:pPr>
        <w:pStyle w:val="Heading3"/>
        <w:numPr>
          <w:ilvl w:val="2"/>
          <w:numId w:val="34"/>
        </w:numPr>
        <w:rPr>
          <w:rFonts w:ascii="Arial" w:hAnsi="Arial" w:cs="Arial"/>
          <w:color w:val="auto"/>
        </w:rPr>
      </w:pPr>
      <w:bookmarkStart w:id="148" w:name="_Toc130808508"/>
      <w:bookmarkStart w:id="149" w:name="_Toc135136735"/>
      <w:r w:rsidRPr="00F6618E">
        <w:rPr>
          <w:rFonts w:ascii="Arial" w:hAnsi="Arial" w:cs="Arial"/>
          <w:color w:val="auto"/>
        </w:rPr>
        <w:t>Talent and Performance Management</w:t>
      </w:r>
      <w:bookmarkEnd w:id="148"/>
      <w:bookmarkEnd w:id="149"/>
      <w:r w:rsidRPr="00F6618E">
        <w:rPr>
          <w:rFonts w:ascii="Arial" w:hAnsi="Arial" w:cs="Arial"/>
          <w:color w:val="auto"/>
        </w:rPr>
        <w:t xml:space="preserve"> and Compensation</w:t>
      </w:r>
    </w:p>
    <w:p w14:paraId="04CCF067" w14:textId="77777777" w:rsidR="00E15703" w:rsidRPr="00F6618E" w:rsidRDefault="00E15703" w:rsidP="00E15703">
      <w:pPr>
        <w:rPr>
          <w:rFonts w:ascii="Arial" w:hAnsi="Arial" w:cs="Arial"/>
          <w:sz w:val="20"/>
          <w:szCs w:val="20"/>
        </w:rPr>
      </w:pPr>
      <w:r w:rsidRPr="00F6618E">
        <w:rPr>
          <w:rFonts w:ascii="Arial" w:hAnsi="Arial" w:cs="Arial"/>
          <w:sz w:val="20"/>
          <w:szCs w:val="20"/>
        </w:rPr>
        <w:t>Citi’s talent, performance management and compensation programs, in relation to risk management, are designed to attract, develop, recognize, and reward individuals with the knowledge, skills, abilities, and demonstrated behaviours that support the design, implementation and embedding of effective risk management across Citi. This is reflected in Citi’s incentive (including remuneration and promotion) and performance management frameworks, which assess achievements and behaviours in line with Citi’s values. Further details can be found in the ERMF.</w:t>
      </w:r>
    </w:p>
    <w:p w14:paraId="452F4ABA" w14:textId="77777777" w:rsidR="00E15703" w:rsidRPr="00F6618E" w:rsidRDefault="00E15703" w:rsidP="00E15703">
      <w:pPr>
        <w:rPr>
          <w:rFonts w:ascii="Arial" w:hAnsi="Arial" w:cs="Arial"/>
          <w:sz w:val="20"/>
          <w:szCs w:val="20"/>
        </w:rPr>
      </w:pPr>
    </w:p>
    <w:p w14:paraId="42529AF6" w14:textId="77777777" w:rsidR="00E15703" w:rsidRPr="00F6618E" w:rsidRDefault="00E15703" w:rsidP="007D0EB4">
      <w:pPr>
        <w:pStyle w:val="Heading3"/>
        <w:numPr>
          <w:ilvl w:val="2"/>
          <w:numId w:val="34"/>
        </w:numPr>
        <w:rPr>
          <w:rFonts w:ascii="Arial" w:hAnsi="Arial" w:cs="Arial"/>
          <w:color w:val="auto"/>
        </w:rPr>
      </w:pPr>
      <w:bookmarkStart w:id="150" w:name="_Toc130808509"/>
      <w:bookmarkStart w:id="151" w:name="_Toc135136736"/>
      <w:r w:rsidRPr="00F6618E">
        <w:rPr>
          <w:rFonts w:ascii="Arial" w:hAnsi="Arial" w:cs="Arial"/>
          <w:color w:val="auto"/>
        </w:rPr>
        <w:t>Communication and Training</w:t>
      </w:r>
      <w:bookmarkEnd w:id="150"/>
      <w:bookmarkEnd w:id="151"/>
    </w:p>
    <w:p w14:paraId="760F9D97" w14:textId="77777777" w:rsidR="00E15703" w:rsidRPr="00F6618E" w:rsidRDefault="00E15703" w:rsidP="00E15703">
      <w:pPr>
        <w:rPr>
          <w:rFonts w:ascii="Arial" w:hAnsi="Arial" w:cs="Arial"/>
          <w:sz w:val="20"/>
          <w:szCs w:val="20"/>
        </w:rPr>
      </w:pPr>
      <w:r w:rsidRPr="00F6618E">
        <w:rPr>
          <w:rFonts w:ascii="Arial" w:hAnsi="Arial" w:cs="Arial"/>
          <w:sz w:val="20"/>
          <w:szCs w:val="20"/>
        </w:rPr>
        <w:t>Communications relating to risk management are coordinated through a communications strategy which ensures messages are delivered effectively and appropriately and all employees are informed of relevant risk management matters as outlined in the ERMF.</w:t>
      </w:r>
    </w:p>
    <w:p w14:paraId="501D9BF8" w14:textId="77777777" w:rsidR="00E15703" w:rsidRPr="00F6618E" w:rsidRDefault="00E15703" w:rsidP="00E15703">
      <w:pPr>
        <w:rPr>
          <w:rFonts w:ascii="Arial" w:hAnsi="Arial" w:cs="Arial"/>
          <w:sz w:val="20"/>
          <w:szCs w:val="20"/>
        </w:rPr>
      </w:pPr>
      <w:proofErr w:type="gramStart"/>
      <w:r w:rsidRPr="00F6618E">
        <w:rPr>
          <w:rFonts w:ascii="Arial" w:hAnsi="Arial" w:cs="Arial"/>
          <w:sz w:val="20"/>
          <w:szCs w:val="20"/>
        </w:rPr>
        <w:t>In order to</w:t>
      </w:r>
      <w:proofErr w:type="gramEnd"/>
      <w:r w:rsidRPr="00F6618E">
        <w:rPr>
          <w:rFonts w:ascii="Arial" w:hAnsi="Arial" w:cs="Arial"/>
          <w:sz w:val="20"/>
          <w:szCs w:val="20"/>
        </w:rPr>
        <w:t xml:space="preserve"> support effective risk management across Citi, comprehensive ongoing training as well as specific learning and development opportunities are provided to all employees. Further details can be found in the ERMF.</w:t>
      </w:r>
    </w:p>
    <w:p w14:paraId="1AF56B83" w14:textId="77777777" w:rsidR="00E15703" w:rsidRPr="00F6618E" w:rsidRDefault="00E15703" w:rsidP="00E15703">
      <w:pPr>
        <w:rPr>
          <w:rFonts w:ascii="Arial" w:hAnsi="Arial" w:cs="Arial"/>
          <w:sz w:val="20"/>
          <w:szCs w:val="20"/>
        </w:rPr>
      </w:pPr>
    </w:p>
    <w:p w14:paraId="542A4214" w14:textId="77777777" w:rsidR="00E15703" w:rsidRPr="00F6618E" w:rsidRDefault="00E15703" w:rsidP="007D0EB4">
      <w:pPr>
        <w:pStyle w:val="Heading3"/>
        <w:numPr>
          <w:ilvl w:val="2"/>
          <w:numId w:val="34"/>
        </w:numPr>
        <w:tabs>
          <w:tab w:val="num" w:pos="360"/>
        </w:tabs>
        <w:ind w:left="0" w:firstLine="0"/>
        <w:rPr>
          <w:rFonts w:ascii="Arial" w:hAnsi="Arial" w:cs="Arial"/>
          <w:color w:val="auto"/>
        </w:rPr>
      </w:pPr>
      <w:bookmarkStart w:id="152" w:name="_Toc152789064"/>
      <w:bookmarkStart w:id="153" w:name="_Toc153285314"/>
      <w:bookmarkEnd w:id="152"/>
      <w:bookmarkEnd w:id="153"/>
      <w:r w:rsidRPr="00F6618E">
        <w:rPr>
          <w:rFonts w:ascii="Arial" w:hAnsi="Arial" w:cs="Arial"/>
          <w:color w:val="auto"/>
        </w:rPr>
        <w:t>Data and Technology</w:t>
      </w:r>
    </w:p>
    <w:p w14:paraId="7435C9A9" w14:textId="77777777" w:rsidR="00E15703" w:rsidRPr="00F6618E" w:rsidRDefault="00E15703" w:rsidP="00E15703">
      <w:pPr>
        <w:rPr>
          <w:rFonts w:ascii="Arial" w:hAnsi="Arial" w:cs="Arial"/>
          <w:sz w:val="20"/>
          <w:szCs w:val="20"/>
        </w:rPr>
      </w:pPr>
      <w:r w:rsidRPr="00F6618E">
        <w:rPr>
          <w:rFonts w:ascii="Arial" w:hAnsi="Arial" w:cs="Arial"/>
          <w:sz w:val="20"/>
          <w:szCs w:val="20"/>
        </w:rPr>
        <w:t>Consistent quality, management and use of data are critical to support risk management activities across the Risk Management Lifecycle. The Citi Data Governance Policy sets forth the principles for the implementation of a consistent and controlled approach to create, maintain, and use Enterprise Data as a critical corporate asset. The Citi Data Governance Policy applies throughout Citi.</w:t>
      </w:r>
    </w:p>
    <w:p w14:paraId="4E8654C6" w14:textId="77777777" w:rsidR="00E15703" w:rsidRPr="00F6618E" w:rsidRDefault="00E15703" w:rsidP="00E15703">
      <w:pPr>
        <w:rPr>
          <w:rFonts w:ascii="Arial" w:hAnsi="Arial" w:cs="Arial"/>
          <w:sz w:val="20"/>
          <w:szCs w:val="20"/>
        </w:rPr>
      </w:pPr>
      <w:r w:rsidRPr="00F6618E">
        <w:rPr>
          <w:rFonts w:ascii="Arial" w:hAnsi="Arial" w:cs="Arial"/>
          <w:sz w:val="20"/>
          <w:szCs w:val="20"/>
        </w:rPr>
        <w:t>Further details can be found in the ERMF.</w:t>
      </w:r>
    </w:p>
    <w:p w14:paraId="126F1DDA" w14:textId="77777777" w:rsidR="00E15703" w:rsidRPr="00F6618E" w:rsidRDefault="00E15703" w:rsidP="00E15703">
      <w:pPr>
        <w:rPr>
          <w:rFonts w:ascii="Arial" w:hAnsi="Arial" w:cs="Arial"/>
          <w:sz w:val="20"/>
          <w:szCs w:val="20"/>
        </w:rPr>
      </w:pPr>
      <w:r w:rsidRPr="00F6618E">
        <w:rPr>
          <w:rFonts w:ascii="Arial" w:hAnsi="Arial" w:cs="Arial"/>
          <w:sz w:val="20"/>
          <w:szCs w:val="20"/>
        </w:rPr>
        <w:t>Citi’s technology and infrastructure supports risk management activities across the Risk Management Lifecycle. Further details can be found in the ERMF.</w:t>
      </w:r>
    </w:p>
    <w:p w14:paraId="4BD8F994" w14:textId="77777777" w:rsidR="00E15703" w:rsidRPr="00F6618E" w:rsidRDefault="00E15703" w:rsidP="00E15703">
      <w:pPr>
        <w:rPr>
          <w:rFonts w:ascii="Arial" w:hAnsi="Arial" w:cs="Arial"/>
          <w:sz w:val="20"/>
          <w:szCs w:val="20"/>
        </w:rPr>
      </w:pPr>
    </w:p>
    <w:p w14:paraId="5DEB843F" w14:textId="77777777" w:rsidR="00E15703" w:rsidRPr="00F6618E" w:rsidRDefault="00E15703" w:rsidP="007D0EB4">
      <w:pPr>
        <w:pStyle w:val="Heading3"/>
        <w:numPr>
          <w:ilvl w:val="2"/>
          <w:numId w:val="34"/>
        </w:numPr>
        <w:rPr>
          <w:rFonts w:ascii="Arial" w:hAnsi="Arial" w:cs="Arial"/>
          <w:color w:val="auto"/>
        </w:rPr>
      </w:pPr>
      <w:bookmarkStart w:id="154" w:name="_Toc130808510"/>
      <w:bookmarkStart w:id="155" w:name="_Toc135136737"/>
      <w:r w:rsidRPr="00F6618E">
        <w:rPr>
          <w:rFonts w:ascii="Arial" w:hAnsi="Arial" w:cs="Arial"/>
          <w:color w:val="auto"/>
        </w:rPr>
        <w:t>Models and Analytics</w:t>
      </w:r>
      <w:bookmarkEnd w:id="154"/>
      <w:bookmarkEnd w:id="155"/>
    </w:p>
    <w:p w14:paraId="2F3D4ACA" w14:textId="77777777" w:rsidR="00E15703" w:rsidRPr="00F6618E" w:rsidRDefault="00E15703" w:rsidP="00E15703">
      <w:pPr>
        <w:rPr>
          <w:rFonts w:ascii="Arial" w:hAnsi="Arial" w:cs="Arial"/>
          <w:sz w:val="20"/>
          <w:szCs w:val="20"/>
        </w:rPr>
      </w:pPr>
      <w:r w:rsidRPr="00F6618E">
        <w:rPr>
          <w:rFonts w:ascii="Arial" w:hAnsi="Arial" w:cs="Arial"/>
          <w:sz w:val="20"/>
          <w:szCs w:val="20"/>
        </w:rPr>
        <w:t>Timely, accurate, and comprehensive analytics of Citi’s risk profile and risk generating activities is essential to facilitate safe and sound risk management. Further details can be found in the ERMF.</w:t>
      </w:r>
    </w:p>
    <w:p w14:paraId="5D6B026B" w14:textId="77777777" w:rsidR="00E15703" w:rsidRPr="00F6618E" w:rsidRDefault="00E15703" w:rsidP="00E15703">
      <w:pPr>
        <w:rPr>
          <w:rFonts w:ascii="Arial" w:hAnsi="Arial" w:cs="Arial"/>
          <w:strike/>
          <w:sz w:val="20"/>
          <w:szCs w:val="20"/>
        </w:rPr>
      </w:pPr>
      <w:r w:rsidRPr="00F6618E">
        <w:rPr>
          <w:rFonts w:ascii="Arial" w:hAnsi="Arial" w:cs="Arial"/>
          <w:sz w:val="20"/>
          <w:szCs w:val="20"/>
        </w:rPr>
        <w:t>Models are used within the Group to process input data into quantitative estimates using quantitative methods, systems or approaches that apply statistical, economic, financial, or mathematical theories, techniques, and assumptions. Further information about the use of models and model risk management can be found in the Citi Model Risk Management Policy.</w:t>
      </w:r>
    </w:p>
    <w:p w14:paraId="61BCDFFC" w14:textId="77777777" w:rsidR="007D0EB4" w:rsidRPr="007D0EB4" w:rsidRDefault="007D0EB4" w:rsidP="007D0EB4">
      <w:pPr>
        <w:pStyle w:val="Heading1"/>
        <w:spacing w:after="240"/>
        <w:rPr>
          <w:rFonts w:ascii="Arial" w:hAnsi="Arial" w:cs="Arial"/>
          <w:b/>
          <w:bCs/>
          <w:sz w:val="24"/>
          <w:szCs w:val="24"/>
          <w:lang w:val="en-US"/>
        </w:rPr>
      </w:pPr>
      <w:bookmarkStart w:id="156" w:name="_Toc132985966"/>
      <w:bookmarkStart w:id="157" w:name="_Toc134525243"/>
      <w:bookmarkStart w:id="158" w:name="_Toc135136740"/>
      <w:bookmarkEnd w:id="119"/>
      <w:bookmarkEnd w:id="120"/>
      <w:bookmarkEnd w:id="121"/>
      <w:r w:rsidRPr="007D0EB4">
        <w:rPr>
          <w:rFonts w:ascii="Arial" w:hAnsi="Arial" w:cs="Arial"/>
          <w:b/>
          <w:bCs/>
          <w:sz w:val="24"/>
          <w:szCs w:val="24"/>
          <w:lang w:val="en-US"/>
        </w:rPr>
        <w:t>Appendix A – Glossary</w:t>
      </w:r>
      <w:bookmarkEnd w:id="158"/>
      <w:r w:rsidRPr="007D0EB4">
        <w:rPr>
          <w:rFonts w:ascii="Arial" w:hAnsi="Arial" w:cs="Arial"/>
          <w:b/>
          <w:bCs/>
          <w:sz w:val="24"/>
          <w:szCs w:val="24"/>
          <w:lang w:val="en-US"/>
        </w:rPr>
        <w:t xml:space="preserve"> </w:t>
      </w:r>
    </w:p>
    <w:tbl>
      <w:tblPr>
        <w:tblStyle w:val="SmartTextTable5"/>
        <w:tblW w:w="9016" w:type="dxa"/>
        <w:tblInd w:w="0" w:type="dxa"/>
        <w:tblLook w:val="04A0" w:firstRow="1" w:lastRow="0" w:firstColumn="1" w:lastColumn="0" w:noHBand="0" w:noVBand="1"/>
      </w:tblPr>
      <w:tblGrid>
        <w:gridCol w:w="2065"/>
        <w:gridCol w:w="6951"/>
      </w:tblGrid>
      <w:tr w:rsidR="007D0EB4" w:rsidRPr="00F6618E" w14:paraId="24A9C5F7" w14:textId="77777777" w:rsidTr="004B5B97">
        <w:trPr>
          <w:trHeight w:val="340"/>
        </w:trPr>
        <w:tc>
          <w:tcPr>
            <w:tcW w:w="2065" w:type="dxa"/>
            <w:shd w:val="clear" w:color="auto" w:fill="BFBFBF" w:themeFill="background1" w:themeFillShade="BF"/>
            <w:vAlign w:val="center"/>
            <w:hideMark/>
          </w:tcPr>
          <w:p w14:paraId="25E9A183" w14:textId="77777777" w:rsidR="007D0EB4" w:rsidRPr="00134E59" w:rsidRDefault="007D0EB4" w:rsidP="004B5B97">
            <w:pPr>
              <w:spacing w:before="0" w:after="0"/>
              <w:jc w:val="left"/>
              <w:rPr>
                <w:rFonts w:ascii="Arial" w:hAnsi="Arial" w:cs="Arial"/>
                <w:b/>
                <w:bCs/>
                <w:sz w:val="20"/>
                <w:szCs w:val="20"/>
                <w:lang w:val="en-US" w:eastAsia="zh-CN"/>
              </w:rPr>
            </w:pPr>
            <w:r w:rsidRPr="00134E59">
              <w:rPr>
                <w:rFonts w:ascii="Arial" w:hAnsi="Arial" w:cs="Arial"/>
                <w:b/>
                <w:bCs/>
                <w:sz w:val="20"/>
                <w:szCs w:val="20"/>
                <w:lang w:val="en-US" w:eastAsia="zh-CN"/>
              </w:rPr>
              <w:t>Term</w:t>
            </w:r>
          </w:p>
        </w:tc>
        <w:tc>
          <w:tcPr>
            <w:tcW w:w="6951" w:type="dxa"/>
            <w:shd w:val="clear" w:color="auto" w:fill="BFBFBF" w:themeFill="background1" w:themeFillShade="BF"/>
            <w:vAlign w:val="center"/>
            <w:hideMark/>
          </w:tcPr>
          <w:p w14:paraId="0EE5E5B3" w14:textId="77777777" w:rsidR="007D0EB4" w:rsidRPr="00134E59" w:rsidRDefault="007D0EB4" w:rsidP="004B5B97">
            <w:pPr>
              <w:spacing w:before="0" w:after="0"/>
              <w:jc w:val="left"/>
              <w:rPr>
                <w:rFonts w:ascii="Arial" w:hAnsi="Arial" w:cs="Arial"/>
                <w:b/>
                <w:bCs/>
                <w:sz w:val="20"/>
                <w:szCs w:val="20"/>
                <w:lang w:val="en-US" w:eastAsia="zh-CN"/>
              </w:rPr>
            </w:pPr>
            <w:r w:rsidRPr="00134E59">
              <w:rPr>
                <w:rFonts w:ascii="Arial" w:hAnsi="Arial" w:cs="Arial"/>
                <w:b/>
                <w:bCs/>
                <w:sz w:val="20"/>
                <w:szCs w:val="20"/>
                <w:lang w:val="en-US" w:eastAsia="zh-CN"/>
              </w:rPr>
              <w:t>Definition</w:t>
            </w:r>
          </w:p>
        </w:tc>
      </w:tr>
      <w:tr w:rsidR="007D0EB4" w:rsidRPr="00F6618E" w14:paraId="6CB61040" w14:textId="77777777" w:rsidTr="004B5B97">
        <w:trPr>
          <w:trHeight w:val="340"/>
        </w:trPr>
        <w:tc>
          <w:tcPr>
            <w:tcW w:w="2065" w:type="dxa"/>
            <w:vAlign w:val="center"/>
            <w:hideMark/>
          </w:tcPr>
          <w:p w14:paraId="201C6894"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ALCO</w:t>
            </w:r>
          </w:p>
        </w:tc>
        <w:tc>
          <w:tcPr>
            <w:tcW w:w="6951" w:type="dxa"/>
            <w:vAlign w:val="center"/>
            <w:hideMark/>
          </w:tcPr>
          <w:p w14:paraId="7CE4B30E"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Asset &amp; Liability Committee</w:t>
            </w:r>
          </w:p>
        </w:tc>
      </w:tr>
      <w:tr w:rsidR="007D0EB4" w:rsidRPr="00F6618E" w14:paraId="0071EB6B" w14:textId="77777777" w:rsidTr="004B5B97">
        <w:trPr>
          <w:trHeight w:val="340"/>
        </w:trPr>
        <w:tc>
          <w:tcPr>
            <w:tcW w:w="2065" w:type="dxa"/>
            <w:vAlign w:val="center"/>
            <w:hideMark/>
          </w:tcPr>
          <w:p w14:paraId="1F9A644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ALM</w:t>
            </w:r>
          </w:p>
        </w:tc>
        <w:tc>
          <w:tcPr>
            <w:tcW w:w="6951" w:type="dxa"/>
            <w:vAlign w:val="center"/>
            <w:hideMark/>
          </w:tcPr>
          <w:p w14:paraId="0106E453"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Asset &amp; Liability Management</w:t>
            </w:r>
          </w:p>
        </w:tc>
      </w:tr>
      <w:tr w:rsidR="007D0EB4" w:rsidRPr="00F6618E" w14:paraId="6FB1EDD6" w14:textId="77777777" w:rsidTr="004B5B97">
        <w:trPr>
          <w:trHeight w:val="340"/>
        </w:trPr>
        <w:tc>
          <w:tcPr>
            <w:tcW w:w="2065" w:type="dxa"/>
            <w:vAlign w:val="center"/>
            <w:hideMark/>
          </w:tcPr>
          <w:p w14:paraId="2D61223E"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APAC</w:t>
            </w:r>
          </w:p>
        </w:tc>
        <w:tc>
          <w:tcPr>
            <w:tcW w:w="6951" w:type="dxa"/>
            <w:vAlign w:val="center"/>
            <w:hideMark/>
          </w:tcPr>
          <w:p w14:paraId="026B769C"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Asia Pacific</w:t>
            </w:r>
          </w:p>
        </w:tc>
      </w:tr>
      <w:tr w:rsidR="007D0EB4" w:rsidRPr="00F6618E" w14:paraId="6CF68AEA" w14:textId="77777777" w:rsidTr="004B5B97">
        <w:trPr>
          <w:trHeight w:val="332"/>
        </w:trPr>
        <w:tc>
          <w:tcPr>
            <w:tcW w:w="2065" w:type="dxa"/>
            <w:vAlign w:val="center"/>
            <w:hideMark/>
          </w:tcPr>
          <w:p w14:paraId="17FE24EB"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BAU / Non-BAU</w:t>
            </w:r>
          </w:p>
        </w:tc>
        <w:tc>
          <w:tcPr>
            <w:tcW w:w="6951" w:type="dxa"/>
            <w:vAlign w:val="center"/>
            <w:hideMark/>
          </w:tcPr>
          <w:p w14:paraId="0BDB090A"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Business-as-Usual / Non-Business-as-Usual</w:t>
            </w:r>
          </w:p>
        </w:tc>
      </w:tr>
      <w:tr w:rsidR="007D0EB4" w:rsidRPr="00F6618E" w14:paraId="0FBCF6EA" w14:textId="77777777" w:rsidTr="004B5B97">
        <w:trPr>
          <w:trHeight w:val="340"/>
        </w:trPr>
        <w:tc>
          <w:tcPr>
            <w:tcW w:w="2065" w:type="dxa"/>
            <w:vAlign w:val="center"/>
          </w:tcPr>
          <w:p w14:paraId="493C1B62" w14:textId="77777777" w:rsidR="007D0EB4" w:rsidRPr="00F6618E" w:rsidRDefault="007D0EB4" w:rsidP="004B5B97">
            <w:pPr>
              <w:spacing w:before="0" w:after="0"/>
              <w:jc w:val="left"/>
              <w:rPr>
                <w:rFonts w:ascii="Arial" w:hAnsi="Arial" w:cs="Arial"/>
                <w:color w:val="000000" w:themeColor="text1"/>
                <w:sz w:val="20"/>
                <w:szCs w:val="20"/>
                <w:lang w:val="en-US" w:eastAsia="zh-CN"/>
              </w:rPr>
            </w:pPr>
            <w:r w:rsidRPr="00F6618E">
              <w:rPr>
                <w:rFonts w:ascii="Arial" w:hAnsi="Arial" w:cs="Arial"/>
                <w:color w:val="000000" w:themeColor="text1"/>
                <w:sz w:val="20"/>
                <w:szCs w:val="20"/>
                <w:lang w:val="en-US" w:eastAsia="zh-CN"/>
              </w:rPr>
              <w:t>BCBS</w:t>
            </w:r>
          </w:p>
        </w:tc>
        <w:tc>
          <w:tcPr>
            <w:tcW w:w="6951" w:type="dxa"/>
            <w:vAlign w:val="center"/>
          </w:tcPr>
          <w:p w14:paraId="21F3597E" w14:textId="77777777" w:rsidR="007D0EB4" w:rsidRPr="00F6618E" w:rsidRDefault="007D0EB4" w:rsidP="004B5B97">
            <w:pPr>
              <w:spacing w:before="0" w:after="0"/>
              <w:jc w:val="left"/>
              <w:rPr>
                <w:rFonts w:ascii="Arial" w:hAnsi="Arial" w:cs="Arial"/>
                <w:color w:val="000000" w:themeColor="text1"/>
                <w:sz w:val="20"/>
                <w:szCs w:val="20"/>
                <w:lang w:val="en-US" w:eastAsia="zh-CN"/>
              </w:rPr>
            </w:pPr>
            <w:r w:rsidRPr="00F6618E">
              <w:rPr>
                <w:rFonts w:ascii="Arial" w:hAnsi="Arial" w:cs="Arial"/>
                <w:color w:val="000000" w:themeColor="text1"/>
                <w:sz w:val="20"/>
                <w:szCs w:val="20"/>
                <w:lang w:val="en-US" w:eastAsia="zh-CN"/>
              </w:rPr>
              <w:t>Basel Committee on Banking Supervision</w:t>
            </w:r>
          </w:p>
        </w:tc>
      </w:tr>
      <w:tr w:rsidR="007D0EB4" w:rsidRPr="00F6618E" w14:paraId="7C00C11D" w14:textId="77777777" w:rsidTr="004B5B97">
        <w:trPr>
          <w:trHeight w:val="340"/>
        </w:trPr>
        <w:tc>
          <w:tcPr>
            <w:tcW w:w="2065" w:type="dxa"/>
            <w:vAlign w:val="center"/>
            <w:hideMark/>
          </w:tcPr>
          <w:p w14:paraId="5F593510" w14:textId="77777777" w:rsidR="007D0EB4" w:rsidRPr="00F6618E" w:rsidRDefault="007D0EB4" w:rsidP="004B5B97">
            <w:pPr>
              <w:spacing w:before="0" w:after="0"/>
              <w:jc w:val="left"/>
              <w:rPr>
                <w:rFonts w:ascii="Arial" w:hAnsi="Arial" w:cs="Arial"/>
                <w:color w:val="000000" w:themeColor="text1"/>
                <w:sz w:val="20"/>
                <w:szCs w:val="20"/>
                <w:lang w:val="en-US" w:eastAsia="zh-CN"/>
              </w:rPr>
            </w:pPr>
            <w:r w:rsidRPr="00F6618E">
              <w:rPr>
                <w:rFonts w:ascii="Arial" w:hAnsi="Arial" w:cs="Arial"/>
                <w:color w:val="000000" w:themeColor="text1"/>
                <w:sz w:val="20"/>
                <w:szCs w:val="20"/>
                <w:lang w:val="en-US" w:eastAsia="zh-CN"/>
              </w:rPr>
              <w:t xml:space="preserve">BSST </w:t>
            </w:r>
          </w:p>
        </w:tc>
        <w:tc>
          <w:tcPr>
            <w:tcW w:w="6951" w:type="dxa"/>
            <w:vAlign w:val="center"/>
            <w:hideMark/>
          </w:tcPr>
          <w:p w14:paraId="7C55A0A4" w14:textId="77777777" w:rsidR="007D0EB4" w:rsidRPr="00F6618E" w:rsidRDefault="007D0EB4" w:rsidP="004B5B97">
            <w:pPr>
              <w:spacing w:before="0" w:after="0"/>
              <w:jc w:val="left"/>
              <w:rPr>
                <w:rFonts w:ascii="Arial" w:hAnsi="Arial" w:cs="Arial"/>
                <w:color w:val="000000" w:themeColor="text1"/>
                <w:sz w:val="20"/>
                <w:szCs w:val="20"/>
                <w:lang w:val="en-US" w:eastAsia="zh-CN"/>
              </w:rPr>
            </w:pPr>
            <w:r w:rsidRPr="00F6618E">
              <w:rPr>
                <w:rFonts w:ascii="Arial" w:hAnsi="Arial" w:cs="Arial"/>
                <w:color w:val="000000" w:themeColor="text1"/>
                <w:sz w:val="20"/>
                <w:szCs w:val="20"/>
                <w:lang w:val="en-US" w:eastAsia="zh-CN"/>
              </w:rPr>
              <w:t>Business Specific Stress Test</w:t>
            </w:r>
          </w:p>
        </w:tc>
      </w:tr>
      <w:tr w:rsidR="007D0EB4" w:rsidRPr="00F6618E" w14:paraId="15D60C5D" w14:textId="77777777" w:rsidTr="004B5B97">
        <w:trPr>
          <w:trHeight w:val="340"/>
        </w:trPr>
        <w:tc>
          <w:tcPr>
            <w:tcW w:w="2065" w:type="dxa"/>
            <w:vAlign w:val="center"/>
            <w:hideMark/>
          </w:tcPr>
          <w:p w14:paraId="43FD7A62" w14:textId="77777777" w:rsidR="007D0EB4" w:rsidRPr="00F6618E" w:rsidRDefault="007D0EB4" w:rsidP="004B5B97">
            <w:pPr>
              <w:spacing w:before="0" w:after="0"/>
              <w:jc w:val="left"/>
              <w:rPr>
                <w:rFonts w:ascii="Arial" w:hAnsi="Arial" w:cs="Arial"/>
                <w:color w:val="000000" w:themeColor="text1"/>
                <w:sz w:val="20"/>
                <w:szCs w:val="20"/>
                <w:lang w:val="en-US" w:eastAsia="zh-CN"/>
              </w:rPr>
            </w:pPr>
            <w:r w:rsidRPr="00F6618E">
              <w:rPr>
                <w:rFonts w:ascii="Arial" w:hAnsi="Arial" w:cs="Arial"/>
                <w:color w:val="000000" w:themeColor="text1"/>
                <w:sz w:val="20"/>
                <w:szCs w:val="20"/>
                <w:lang w:val="en-US" w:eastAsia="zh-CN"/>
              </w:rPr>
              <w:t>CBNA</w:t>
            </w:r>
          </w:p>
        </w:tc>
        <w:tc>
          <w:tcPr>
            <w:tcW w:w="6951" w:type="dxa"/>
            <w:vAlign w:val="center"/>
            <w:hideMark/>
          </w:tcPr>
          <w:p w14:paraId="6E4CDD63" w14:textId="77777777" w:rsidR="007D0EB4" w:rsidRPr="00F6618E" w:rsidRDefault="007D0EB4" w:rsidP="004B5B97">
            <w:pPr>
              <w:spacing w:before="0" w:after="0"/>
              <w:jc w:val="left"/>
              <w:rPr>
                <w:rFonts w:ascii="Arial" w:hAnsi="Arial" w:cs="Arial"/>
                <w:color w:val="000000" w:themeColor="text1"/>
                <w:sz w:val="20"/>
                <w:szCs w:val="20"/>
                <w:lang w:val="en-US" w:eastAsia="zh-CN"/>
              </w:rPr>
            </w:pPr>
            <w:r w:rsidRPr="00F6618E">
              <w:rPr>
                <w:rFonts w:ascii="Arial" w:hAnsi="Arial" w:cs="Arial"/>
                <w:color w:val="000000" w:themeColor="text1"/>
                <w:sz w:val="20"/>
                <w:szCs w:val="20"/>
                <w:lang w:val="en-US" w:eastAsia="zh-CN"/>
              </w:rPr>
              <w:t>Citibank National Association</w:t>
            </w:r>
          </w:p>
        </w:tc>
      </w:tr>
      <w:tr w:rsidR="007D0EB4" w:rsidRPr="00F6618E" w14:paraId="0453CC8D" w14:textId="77777777" w:rsidTr="004B5B97">
        <w:trPr>
          <w:trHeight w:val="340"/>
        </w:trPr>
        <w:tc>
          <w:tcPr>
            <w:tcW w:w="2065" w:type="dxa"/>
            <w:vAlign w:val="center"/>
          </w:tcPr>
          <w:p w14:paraId="4FA506C1" w14:textId="77777777" w:rsidR="007D0EB4" w:rsidRPr="00F6618E" w:rsidRDefault="007D0EB4" w:rsidP="004B5B97">
            <w:pPr>
              <w:spacing w:before="0" w:after="0"/>
              <w:jc w:val="left"/>
              <w:rPr>
                <w:rFonts w:ascii="Arial" w:hAnsi="Arial" w:cs="Arial"/>
                <w:color w:val="000000" w:themeColor="text1"/>
                <w:sz w:val="20"/>
                <w:szCs w:val="20"/>
                <w:lang w:val="en-US" w:eastAsia="zh-CN"/>
              </w:rPr>
            </w:pPr>
            <w:r w:rsidRPr="00F6618E">
              <w:rPr>
                <w:rFonts w:ascii="Arial" w:hAnsi="Arial" w:cs="Arial"/>
                <w:color w:val="000000" w:themeColor="text1"/>
                <w:sz w:val="20"/>
                <w:szCs w:val="20"/>
                <w:lang w:val="en-US" w:eastAsia="zh-CN"/>
              </w:rPr>
              <w:t>CCAR</w:t>
            </w:r>
          </w:p>
        </w:tc>
        <w:tc>
          <w:tcPr>
            <w:tcW w:w="6951" w:type="dxa"/>
            <w:vAlign w:val="center"/>
          </w:tcPr>
          <w:p w14:paraId="0900F215" w14:textId="77777777" w:rsidR="007D0EB4" w:rsidRPr="00F6618E" w:rsidRDefault="007D0EB4" w:rsidP="004B5B97">
            <w:pPr>
              <w:spacing w:before="0" w:after="0"/>
              <w:jc w:val="left"/>
              <w:rPr>
                <w:rFonts w:ascii="Arial" w:hAnsi="Arial" w:cs="Arial"/>
                <w:color w:val="000000" w:themeColor="text1"/>
                <w:sz w:val="20"/>
                <w:szCs w:val="20"/>
                <w:lang w:val="en-US" w:eastAsia="zh-CN"/>
              </w:rPr>
            </w:pPr>
            <w:r w:rsidRPr="00F6618E">
              <w:rPr>
                <w:rFonts w:ascii="Arial" w:hAnsi="Arial" w:cs="Arial"/>
                <w:color w:val="000000" w:themeColor="text1"/>
                <w:sz w:val="20"/>
                <w:szCs w:val="20"/>
                <w:lang w:val="en-US" w:eastAsia="zh-CN"/>
              </w:rPr>
              <w:t>Comprehensive Capital Analysis and Review</w:t>
            </w:r>
          </w:p>
        </w:tc>
      </w:tr>
      <w:tr w:rsidR="007D0EB4" w:rsidRPr="00F6618E" w14:paraId="0F0D9CAE" w14:textId="77777777" w:rsidTr="004B5B97">
        <w:trPr>
          <w:trHeight w:val="340"/>
        </w:trPr>
        <w:tc>
          <w:tcPr>
            <w:tcW w:w="2065" w:type="dxa"/>
            <w:vAlign w:val="center"/>
            <w:hideMark/>
          </w:tcPr>
          <w:p w14:paraId="1DDAE430"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CCC</w:t>
            </w:r>
          </w:p>
        </w:tc>
        <w:tc>
          <w:tcPr>
            <w:tcW w:w="6951" w:type="dxa"/>
            <w:vAlign w:val="center"/>
            <w:hideMark/>
          </w:tcPr>
          <w:p w14:paraId="7170CA4B"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Country Coordinating Committee</w:t>
            </w:r>
          </w:p>
        </w:tc>
      </w:tr>
      <w:tr w:rsidR="007D0EB4" w:rsidRPr="00F6618E" w14:paraId="78516D1F" w14:textId="77777777" w:rsidTr="004B5B97">
        <w:trPr>
          <w:trHeight w:val="340"/>
        </w:trPr>
        <w:tc>
          <w:tcPr>
            <w:tcW w:w="2065" w:type="dxa"/>
            <w:vAlign w:val="center"/>
            <w:hideMark/>
          </w:tcPr>
          <w:p w14:paraId="18407563"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CCO</w:t>
            </w:r>
          </w:p>
        </w:tc>
        <w:tc>
          <w:tcPr>
            <w:tcW w:w="6951" w:type="dxa"/>
            <w:vAlign w:val="center"/>
            <w:hideMark/>
          </w:tcPr>
          <w:p w14:paraId="7BE416F3"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Citi Country Officer</w:t>
            </w:r>
          </w:p>
        </w:tc>
      </w:tr>
      <w:tr w:rsidR="007D0EB4" w:rsidRPr="00F6618E" w14:paraId="658A1455" w14:textId="77777777" w:rsidTr="004B5B97">
        <w:trPr>
          <w:trHeight w:val="340"/>
        </w:trPr>
        <w:tc>
          <w:tcPr>
            <w:tcW w:w="2065" w:type="dxa"/>
            <w:vAlign w:val="center"/>
            <w:hideMark/>
          </w:tcPr>
          <w:p w14:paraId="66D44069"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CEO</w:t>
            </w:r>
          </w:p>
        </w:tc>
        <w:tc>
          <w:tcPr>
            <w:tcW w:w="6951" w:type="dxa"/>
            <w:vAlign w:val="center"/>
            <w:hideMark/>
          </w:tcPr>
          <w:p w14:paraId="77B7E99D"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Chief Executive Officer</w:t>
            </w:r>
          </w:p>
        </w:tc>
      </w:tr>
      <w:tr w:rsidR="007D0EB4" w:rsidRPr="00F6618E" w14:paraId="7A9ED041" w14:textId="77777777" w:rsidTr="004B5B97">
        <w:trPr>
          <w:trHeight w:val="340"/>
        </w:trPr>
        <w:tc>
          <w:tcPr>
            <w:tcW w:w="2065" w:type="dxa"/>
            <w:vAlign w:val="center"/>
            <w:hideMark/>
          </w:tcPr>
          <w:p w14:paraId="7D3AFB15"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CLRI</w:t>
            </w:r>
          </w:p>
        </w:tc>
        <w:tc>
          <w:tcPr>
            <w:tcW w:w="6951" w:type="dxa"/>
            <w:vAlign w:val="center"/>
            <w:hideMark/>
          </w:tcPr>
          <w:p w14:paraId="5ABF5EA5"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Contingent Liquidity Risk Inventory</w:t>
            </w:r>
          </w:p>
        </w:tc>
      </w:tr>
      <w:tr w:rsidR="007D0EB4" w:rsidRPr="00F6618E" w14:paraId="19B6D915" w14:textId="77777777" w:rsidTr="004B5B97">
        <w:trPr>
          <w:trHeight w:val="340"/>
        </w:trPr>
        <w:tc>
          <w:tcPr>
            <w:tcW w:w="2065" w:type="dxa"/>
            <w:vAlign w:val="center"/>
            <w:hideMark/>
          </w:tcPr>
          <w:p w14:paraId="39A85888"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CPB</w:t>
            </w:r>
          </w:p>
        </w:tc>
        <w:tc>
          <w:tcPr>
            <w:tcW w:w="6951" w:type="dxa"/>
            <w:vAlign w:val="center"/>
            <w:hideMark/>
          </w:tcPr>
          <w:p w14:paraId="0A592A42"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Citi Private Bank</w:t>
            </w:r>
          </w:p>
        </w:tc>
      </w:tr>
      <w:tr w:rsidR="007D0EB4" w:rsidRPr="00F6618E" w14:paraId="4AC089DA" w14:textId="77777777" w:rsidTr="004B5B97">
        <w:trPr>
          <w:trHeight w:val="340"/>
        </w:trPr>
        <w:tc>
          <w:tcPr>
            <w:tcW w:w="2065" w:type="dxa"/>
            <w:noWrap/>
            <w:vAlign w:val="center"/>
            <w:hideMark/>
          </w:tcPr>
          <w:p w14:paraId="16B2A976"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CRMC</w:t>
            </w:r>
          </w:p>
        </w:tc>
        <w:tc>
          <w:tcPr>
            <w:tcW w:w="6951" w:type="dxa"/>
            <w:noWrap/>
            <w:vAlign w:val="center"/>
            <w:hideMark/>
          </w:tcPr>
          <w:p w14:paraId="5F1BDB7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Country Risk Management Committee</w:t>
            </w:r>
          </w:p>
        </w:tc>
      </w:tr>
      <w:tr w:rsidR="007D0EB4" w:rsidRPr="00F6618E" w14:paraId="4138C3CD" w14:textId="77777777" w:rsidTr="004B5B97">
        <w:trPr>
          <w:trHeight w:val="340"/>
        </w:trPr>
        <w:tc>
          <w:tcPr>
            <w:tcW w:w="2065" w:type="dxa"/>
            <w:noWrap/>
            <w:vAlign w:val="center"/>
            <w:hideMark/>
          </w:tcPr>
          <w:p w14:paraId="57754D8E"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CRMF</w:t>
            </w:r>
          </w:p>
        </w:tc>
        <w:tc>
          <w:tcPr>
            <w:tcW w:w="6951" w:type="dxa"/>
            <w:noWrap/>
            <w:vAlign w:val="center"/>
            <w:hideMark/>
          </w:tcPr>
          <w:p w14:paraId="4A2D26DD"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Climate Risk Management Framework</w:t>
            </w:r>
          </w:p>
        </w:tc>
      </w:tr>
      <w:tr w:rsidR="007D0EB4" w:rsidRPr="00F6618E" w14:paraId="5D3463F0" w14:textId="77777777" w:rsidTr="004B5B97">
        <w:trPr>
          <w:trHeight w:val="340"/>
        </w:trPr>
        <w:tc>
          <w:tcPr>
            <w:tcW w:w="2065" w:type="dxa"/>
            <w:vAlign w:val="center"/>
            <w:hideMark/>
          </w:tcPr>
          <w:p w14:paraId="39BC6F4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CRMR</w:t>
            </w:r>
          </w:p>
        </w:tc>
        <w:tc>
          <w:tcPr>
            <w:tcW w:w="6951" w:type="dxa"/>
            <w:vAlign w:val="center"/>
            <w:hideMark/>
          </w:tcPr>
          <w:p w14:paraId="0D06E964" w14:textId="77777777" w:rsidR="007D0EB4" w:rsidRPr="00F6618E" w:rsidRDefault="007D0EB4" w:rsidP="004B5B97">
            <w:pPr>
              <w:spacing w:before="0" w:after="0"/>
              <w:jc w:val="left"/>
              <w:rPr>
                <w:rFonts w:ascii="Arial" w:hAnsi="Arial" w:cs="Arial"/>
                <w:color w:val="000000"/>
                <w:sz w:val="20"/>
                <w:szCs w:val="20"/>
                <w:lang w:val="en-US" w:eastAsia="zh-CN"/>
              </w:rPr>
            </w:pPr>
            <w:proofErr w:type="spellStart"/>
            <w:r w:rsidRPr="00F6618E">
              <w:rPr>
                <w:rFonts w:ascii="Arial" w:hAnsi="Arial" w:cs="Arial"/>
                <w:color w:val="000000"/>
                <w:sz w:val="20"/>
                <w:szCs w:val="20"/>
                <w:lang w:val="en-US" w:eastAsia="zh-CN"/>
              </w:rPr>
              <w:t>CitiRisk</w:t>
            </w:r>
            <w:proofErr w:type="spellEnd"/>
            <w:r w:rsidRPr="00F6618E">
              <w:rPr>
                <w:rFonts w:ascii="Arial" w:hAnsi="Arial" w:cs="Arial"/>
                <w:color w:val="000000"/>
                <w:sz w:val="20"/>
                <w:szCs w:val="20"/>
                <w:lang w:val="en-US" w:eastAsia="zh-CN"/>
              </w:rPr>
              <w:t xml:space="preserve"> Market Risk</w:t>
            </w:r>
          </w:p>
        </w:tc>
      </w:tr>
      <w:tr w:rsidR="007D0EB4" w:rsidRPr="00F6618E" w14:paraId="32751C95" w14:textId="77777777" w:rsidTr="004B5B97">
        <w:trPr>
          <w:trHeight w:val="340"/>
        </w:trPr>
        <w:tc>
          <w:tcPr>
            <w:tcW w:w="2065" w:type="dxa"/>
            <w:vAlign w:val="center"/>
            <w:hideMark/>
          </w:tcPr>
          <w:p w14:paraId="3DEADA62"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CRO</w:t>
            </w:r>
          </w:p>
        </w:tc>
        <w:tc>
          <w:tcPr>
            <w:tcW w:w="6951" w:type="dxa"/>
            <w:vAlign w:val="center"/>
            <w:hideMark/>
          </w:tcPr>
          <w:p w14:paraId="75C8C687"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Chief Risk Officer</w:t>
            </w:r>
          </w:p>
        </w:tc>
      </w:tr>
      <w:tr w:rsidR="007D0EB4" w:rsidRPr="00F6618E" w14:paraId="7CC92357" w14:textId="77777777" w:rsidTr="004B5B97">
        <w:trPr>
          <w:trHeight w:val="340"/>
        </w:trPr>
        <w:tc>
          <w:tcPr>
            <w:tcW w:w="2065" w:type="dxa"/>
            <w:vAlign w:val="center"/>
            <w:hideMark/>
          </w:tcPr>
          <w:p w14:paraId="51D65D90"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CT</w:t>
            </w:r>
          </w:p>
        </w:tc>
        <w:tc>
          <w:tcPr>
            <w:tcW w:w="6951" w:type="dxa"/>
            <w:vAlign w:val="center"/>
            <w:hideMark/>
          </w:tcPr>
          <w:p w14:paraId="27D04A8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Compliance Testing</w:t>
            </w:r>
          </w:p>
        </w:tc>
      </w:tr>
      <w:tr w:rsidR="007D0EB4" w:rsidRPr="00F6618E" w14:paraId="3C9BEB1C" w14:textId="77777777" w:rsidTr="004B5B97">
        <w:trPr>
          <w:trHeight w:val="340"/>
        </w:trPr>
        <w:tc>
          <w:tcPr>
            <w:tcW w:w="2065" w:type="dxa"/>
            <w:noWrap/>
            <w:vAlign w:val="center"/>
            <w:hideMark/>
          </w:tcPr>
          <w:p w14:paraId="4B5DC72D"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CVA</w:t>
            </w:r>
          </w:p>
        </w:tc>
        <w:tc>
          <w:tcPr>
            <w:tcW w:w="6951" w:type="dxa"/>
            <w:noWrap/>
            <w:vAlign w:val="center"/>
            <w:hideMark/>
          </w:tcPr>
          <w:p w14:paraId="67AEEBE0"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Credit Valuation Adjustment</w:t>
            </w:r>
          </w:p>
        </w:tc>
      </w:tr>
      <w:tr w:rsidR="007D0EB4" w:rsidRPr="00F6618E" w14:paraId="2265AFB1" w14:textId="77777777" w:rsidTr="004B5B97">
        <w:trPr>
          <w:trHeight w:val="340"/>
        </w:trPr>
        <w:tc>
          <w:tcPr>
            <w:tcW w:w="2065" w:type="dxa"/>
            <w:vAlign w:val="center"/>
            <w:hideMark/>
          </w:tcPr>
          <w:p w14:paraId="449758E1"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DFAST</w:t>
            </w:r>
          </w:p>
        </w:tc>
        <w:tc>
          <w:tcPr>
            <w:tcW w:w="6951" w:type="dxa"/>
            <w:vAlign w:val="center"/>
            <w:hideMark/>
          </w:tcPr>
          <w:p w14:paraId="7D39830E"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Dodd Frank Act Stress Test</w:t>
            </w:r>
          </w:p>
        </w:tc>
      </w:tr>
      <w:tr w:rsidR="007D0EB4" w:rsidRPr="00F6618E" w14:paraId="0CC56551" w14:textId="77777777" w:rsidTr="004B5B97">
        <w:trPr>
          <w:trHeight w:val="340"/>
        </w:trPr>
        <w:tc>
          <w:tcPr>
            <w:tcW w:w="2065" w:type="dxa"/>
            <w:noWrap/>
            <w:vAlign w:val="center"/>
            <w:hideMark/>
          </w:tcPr>
          <w:p w14:paraId="3211D9AA"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DSFT</w:t>
            </w:r>
          </w:p>
        </w:tc>
        <w:tc>
          <w:tcPr>
            <w:tcW w:w="6951" w:type="dxa"/>
            <w:noWrap/>
            <w:vAlign w:val="center"/>
            <w:hideMark/>
          </w:tcPr>
          <w:p w14:paraId="71D829B8"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Derivatives &amp; Securities Financing Transactions</w:t>
            </w:r>
          </w:p>
        </w:tc>
      </w:tr>
      <w:tr w:rsidR="007D0EB4" w:rsidRPr="00F6618E" w14:paraId="13760B09" w14:textId="77777777" w:rsidTr="004B5B97">
        <w:trPr>
          <w:trHeight w:val="340"/>
        </w:trPr>
        <w:tc>
          <w:tcPr>
            <w:tcW w:w="2065" w:type="dxa"/>
            <w:vAlign w:val="center"/>
            <w:hideMark/>
          </w:tcPr>
          <w:p w14:paraId="0BCC9671"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DV01</w:t>
            </w:r>
          </w:p>
        </w:tc>
        <w:tc>
          <w:tcPr>
            <w:tcW w:w="6951" w:type="dxa"/>
            <w:vAlign w:val="center"/>
            <w:hideMark/>
          </w:tcPr>
          <w:p w14:paraId="42B42180"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Interest rate risk per basis point movement</w:t>
            </w:r>
          </w:p>
        </w:tc>
      </w:tr>
      <w:tr w:rsidR="007D0EB4" w:rsidRPr="00F6618E" w14:paraId="61041DB5" w14:textId="77777777" w:rsidTr="004B5B97">
        <w:trPr>
          <w:trHeight w:val="340"/>
        </w:trPr>
        <w:tc>
          <w:tcPr>
            <w:tcW w:w="2065" w:type="dxa"/>
            <w:vAlign w:val="center"/>
            <w:hideMark/>
          </w:tcPr>
          <w:p w14:paraId="32922273"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ECRM</w:t>
            </w:r>
          </w:p>
        </w:tc>
        <w:tc>
          <w:tcPr>
            <w:tcW w:w="6951" w:type="dxa"/>
            <w:vAlign w:val="center"/>
            <w:hideMark/>
          </w:tcPr>
          <w:p w14:paraId="2B4068E0"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Enterprise Concentration Risk Management</w:t>
            </w:r>
          </w:p>
        </w:tc>
      </w:tr>
      <w:tr w:rsidR="007D0EB4" w:rsidRPr="00F6618E" w14:paraId="1B0C49A2" w14:textId="77777777" w:rsidTr="004B5B97">
        <w:trPr>
          <w:trHeight w:val="340"/>
        </w:trPr>
        <w:tc>
          <w:tcPr>
            <w:tcW w:w="2065" w:type="dxa"/>
            <w:vAlign w:val="center"/>
            <w:hideMark/>
          </w:tcPr>
          <w:p w14:paraId="75F49BC4"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EMEA</w:t>
            </w:r>
          </w:p>
        </w:tc>
        <w:tc>
          <w:tcPr>
            <w:tcW w:w="6951" w:type="dxa"/>
            <w:vAlign w:val="center"/>
            <w:hideMark/>
          </w:tcPr>
          <w:p w14:paraId="4408A770"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 xml:space="preserve">Europe, Middle </w:t>
            </w:r>
            <w:proofErr w:type="gramStart"/>
            <w:r w:rsidRPr="00F6618E">
              <w:rPr>
                <w:rFonts w:ascii="Arial" w:hAnsi="Arial" w:cs="Arial"/>
                <w:color w:val="000000"/>
                <w:sz w:val="20"/>
                <w:szCs w:val="20"/>
                <w:lang w:val="en-US" w:eastAsia="zh-CN"/>
              </w:rPr>
              <w:t>East</w:t>
            </w:r>
            <w:proofErr w:type="gramEnd"/>
            <w:r w:rsidRPr="00F6618E">
              <w:rPr>
                <w:rFonts w:ascii="Arial" w:hAnsi="Arial" w:cs="Arial"/>
                <w:color w:val="000000"/>
                <w:sz w:val="20"/>
                <w:szCs w:val="20"/>
                <w:lang w:val="en-US" w:eastAsia="zh-CN"/>
              </w:rPr>
              <w:t xml:space="preserve"> and Africa</w:t>
            </w:r>
          </w:p>
        </w:tc>
      </w:tr>
      <w:tr w:rsidR="007D0EB4" w:rsidRPr="00F6618E" w14:paraId="08C0ECB2" w14:textId="77777777" w:rsidTr="004B5B97">
        <w:trPr>
          <w:trHeight w:val="340"/>
        </w:trPr>
        <w:tc>
          <w:tcPr>
            <w:tcW w:w="2065" w:type="dxa"/>
            <w:vAlign w:val="center"/>
            <w:hideMark/>
          </w:tcPr>
          <w:p w14:paraId="41718C71"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 xml:space="preserve">ERMF </w:t>
            </w:r>
          </w:p>
        </w:tc>
        <w:tc>
          <w:tcPr>
            <w:tcW w:w="6951" w:type="dxa"/>
            <w:vAlign w:val="center"/>
            <w:hideMark/>
          </w:tcPr>
          <w:p w14:paraId="3C25948E"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Enterprise Risk Management Framework</w:t>
            </w:r>
          </w:p>
        </w:tc>
      </w:tr>
      <w:tr w:rsidR="007D0EB4" w:rsidRPr="00F6618E" w14:paraId="29F0428D" w14:textId="77777777" w:rsidTr="004B5B97">
        <w:trPr>
          <w:trHeight w:val="340"/>
        </w:trPr>
        <w:tc>
          <w:tcPr>
            <w:tcW w:w="2065" w:type="dxa"/>
            <w:vAlign w:val="center"/>
            <w:hideMark/>
          </w:tcPr>
          <w:p w14:paraId="6C452BB9"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EVS</w:t>
            </w:r>
          </w:p>
        </w:tc>
        <w:tc>
          <w:tcPr>
            <w:tcW w:w="6951" w:type="dxa"/>
            <w:vAlign w:val="center"/>
            <w:hideMark/>
          </w:tcPr>
          <w:p w14:paraId="34AB47DA"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Economic Value Sensitivity</w:t>
            </w:r>
          </w:p>
        </w:tc>
      </w:tr>
      <w:tr w:rsidR="007D0EB4" w:rsidRPr="00F6618E" w14:paraId="78286F47" w14:textId="77777777" w:rsidTr="004B5B97">
        <w:trPr>
          <w:trHeight w:val="340"/>
        </w:trPr>
        <w:tc>
          <w:tcPr>
            <w:tcW w:w="2065" w:type="dxa"/>
            <w:vAlign w:val="center"/>
            <w:hideMark/>
          </w:tcPr>
          <w:p w14:paraId="0135D239"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FICO</w:t>
            </w:r>
          </w:p>
        </w:tc>
        <w:tc>
          <w:tcPr>
            <w:tcW w:w="6951" w:type="dxa"/>
            <w:vAlign w:val="center"/>
            <w:hideMark/>
          </w:tcPr>
          <w:p w14:paraId="08CE94A0"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Credit Scoring System</w:t>
            </w:r>
          </w:p>
        </w:tc>
      </w:tr>
      <w:tr w:rsidR="007D0EB4" w:rsidRPr="00F6618E" w14:paraId="5AA4DB58" w14:textId="77777777" w:rsidTr="004B5B97">
        <w:trPr>
          <w:trHeight w:val="340"/>
        </w:trPr>
        <w:tc>
          <w:tcPr>
            <w:tcW w:w="2065" w:type="dxa"/>
            <w:noWrap/>
            <w:vAlign w:val="center"/>
            <w:hideMark/>
          </w:tcPr>
          <w:p w14:paraId="4241E221"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FLU</w:t>
            </w:r>
          </w:p>
        </w:tc>
        <w:tc>
          <w:tcPr>
            <w:tcW w:w="6951" w:type="dxa"/>
            <w:noWrap/>
            <w:vAlign w:val="center"/>
            <w:hideMark/>
          </w:tcPr>
          <w:p w14:paraId="748CDA6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Front Line Units</w:t>
            </w:r>
          </w:p>
        </w:tc>
      </w:tr>
      <w:tr w:rsidR="007D0EB4" w:rsidRPr="00F6618E" w14:paraId="69613078" w14:textId="77777777" w:rsidTr="004B5B97">
        <w:trPr>
          <w:trHeight w:val="340"/>
        </w:trPr>
        <w:tc>
          <w:tcPr>
            <w:tcW w:w="2065" w:type="dxa"/>
            <w:vAlign w:val="center"/>
            <w:hideMark/>
          </w:tcPr>
          <w:p w14:paraId="017FA51A"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GLM</w:t>
            </w:r>
          </w:p>
        </w:tc>
        <w:tc>
          <w:tcPr>
            <w:tcW w:w="6951" w:type="dxa"/>
            <w:vAlign w:val="center"/>
            <w:hideMark/>
          </w:tcPr>
          <w:p w14:paraId="18ED79AA"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Global Liquidity Management</w:t>
            </w:r>
          </w:p>
        </w:tc>
      </w:tr>
      <w:tr w:rsidR="007D0EB4" w:rsidRPr="00F6618E" w14:paraId="61205B94" w14:textId="77777777" w:rsidTr="004B5B97">
        <w:trPr>
          <w:trHeight w:val="340"/>
        </w:trPr>
        <w:tc>
          <w:tcPr>
            <w:tcW w:w="2065" w:type="dxa"/>
            <w:vAlign w:val="center"/>
            <w:hideMark/>
          </w:tcPr>
          <w:p w14:paraId="508D5C66"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GNAC</w:t>
            </w:r>
          </w:p>
        </w:tc>
        <w:tc>
          <w:tcPr>
            <w:tcW w:w="6951" w:type="dxa"/>
            <w:vAlign w:val="center"/>
            <w:hideMark/>
          </w:tcPr>
          <w:p w14:paraId="5A1E8D52"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Global New Activity Committee</w:t>
            </w:r>
          </w:p>
        </w:tc>
      </w:tr>
      <w:tr w:rsidR="007D0EB4" w:rsidRPr="00F6618E" w14:paraId="3AB36FE8" w14:textId="77777777" w:rsidTr="004B5B97">
        <w:trPr>
          <w:trHeight w:val="340"/>
        </w:trPr>
        <w:tc>
          <w:tcPr>
            <w:tcW w:w="2065" w:type="dxa"/>
            <w:vAlign w:val="center"/>
            <w:hideMark/>
          </w:tcPr>
          <w:p w14:paraId="31661FF9"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GSRC</w:t>
            </w:r>
          </w:p>
        </w:tc>
        <w:tc>
          <w:tcPr>
            <w:tcW w:w="6951" w:type="dxa"/>
            <w:vAlign w:val="center"/>
            <w:hideMark/>
          </w:tcPr>
          <w:p w14:paraId="35E559D1"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Global Strategic Risk Committee</w:t>
            </w:r>
          </w:p>
        </w:tc>
      </w:tr>
      <w:tr w:rsidR="007D0EB4" w:rsidRPr="00F6618E" w14:paraId="23C161CF" w14:textId="77777777" w:rsidTr="004B5B97">
        <w:trPr>
          <w:trHeight w:val="340"/>
        </w:trPr>
        <w:tc>
          <w:tcPr>
            <w:tcW w:w="2065" w:type="dxa"/>
            <w:vAlign w:val="center"/>
            <w:hideMark/>
          </w:tcPr>
          <w:p w14:paraId="10D8EDFA"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GSST</w:t>
            </w:r>
          </w:p>
        </w:tc>
        <w:tc>
          <w:tcPr>
            <w:tcW w:w="6951" w:type="dxa"/>
            <w:vAlign w:val="center"/>
            <w:hideMark/>
          </w:tcPr>
          <w:p w14:paraId="6D2E495D"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Global Systemic Stress Test</w:t>
            </w:r>
          </w:p>
        </w:tc>
      </w:tr>
      <w:tr w:rsidR="007D0EB4" w:rsidRPr="00F6618E" w14:paraId="16D76287" w14:textId="77777777" w:rsidTr="004B5B97">
        <w:trPr>
          <w:trHeight w:val="340"/>
        </w:trPr>
        <w:tc>
          <w:tcPr>
            <w:tcW w:w="2065" w:type="dxa"/>
            <w:noWrap/>
            <w:vAlign w:val="center"/>
            <w:hideMark/>
          </w:tcPr>
          <w:p w14:paraId="4CD200C4"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HLA</w:t>
            </w:r>
          </w:p>
        </w:tc>
        <w:tc>
          <w:tcPr>
            <w:tcW w:w="6951" w:type="dxa"/>
            <w:noWrap/>
            <w:vAlign w:val="center"/>
            <w:hideMark/>
          </w:tcPr>
          <w:p w14:paraId="2F742C61"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Highly Liquid Asset</w:t>
            </w:r>
          </w:p>
        </w:tc>
      </w:tr>
      <w:tr w:rsidR="007D0EB4" w:rsidRPr="00F6618E" w14:paraId="6FDC2051" w14:textId="77777777" w:rsidTr="004B5B97">
        <w:trPr>
          <w:trHeight w:val="340"/>
        </w:trPr>
        <w:tc>
          <w:tcPr>
            <w:tcW w:w="2065" w:type="dxa"/>
            <w:vAlign w:val="center"/>
            <w:hideMark/>
          </w:tcPr>
          <w:p w14:paraId="5FEB8DFD"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ICAAP</w:t>
            </w:r>
          </w:p>
        </w:tc>
        <w:tc>
          <w:tcPr>
            <w:tcW w:w="6951" w:type="dxa"/>
            <w:vAlign w:val="center"/>
            <w:hideMark/>
          </w:tcPr>
          <w:p w14:paraId="6AB2FE8C"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Internal Capital Adequacy Assessment Process</w:t>
            </w:r>
          </w:p>
        </w:tc>
      </w:tr>
      <w:tr w:rsidR="007D0EB4" w:rsidRPr="00F6618E" w14:paraId="573CF840" w14:textId="77777777" w:rsidTr="004B5B97">
        <w:trPr>
          <w:trHeight w:val="340"/>
        </w:trPr>
        <w:tc>
          <w:tcPr>
            <w:tcW w:w="2065" w:type="dxa"/>
            <w:vAlign w:val="center"/>
            <w:hideMark/>
          </w:tcPr>
          <w:p w14:paraId="6AD0ACF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ICRM</w:t>
            </w:r>
          </w:p>
        </w:tc>
        <w:tc>
          <w:tcPr>
            <w:tcW w:w="6951" w:type="dxa"/>
            <w:vAlign w:val="center"/>
            <w:hideMark/>
          </w:tcPr>
          <w:p w14:paraId="6289B04A"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 xml:space="preserve">Independent Compliance Risk Management </w:t>
            </w:r>
          </w:p>
        </w:tc>
      </w:tr>
      <w:tr w:rsidR="007D0EB4" w:rsidRPr="00F6618E" w14:paraId="0A0386E3" w14:textId="77777777" w:rsidTr="004B5B97">
        <w:trPr>
          <w:trHeight w:val="340"/>
        </w:trPr>
        <w:tc>
          <w:tcPr>
            <w:tcW w:w="2065" w:type="dxa"/>
            <w:vAlign w:val="center"/>
            <w:hideMark/>
          </w:tcPr>
          <w:p w14:paraId="590C8245"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IML</w:t>
            </w:r>
          </w:p>
        </w:tc>
        <w:tc>
          <w:tcPr>
            <w:tcW w:w="6951" w:type="dxa"/>
            <w:vAlign w:val="center"/>
            <w:hideMark/>
          </w:tcPr>
          <w:p w14:paraId="4FEE74CC"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Issue Management Lifecycle</w:t>
            </w:r>
          </w:p>
        </w:tc>
      </w:tr>
      <w:tr w:rsidR="007D0EB4" w:rsidRPr="00F6618E" w14:paraId="4AEBFAD0" w14:textId="77777777" w:rsidTr="004B5B97">
        <w:trPr>
          <w:trHeight w:val="340"/>
        </w:trPr>
        <w:tc>
          <w:tcPr>
            <w:tcW w:w="2065" w:type="dxa"/>
            <w:noWrap/>
            <w:vAlign w:val="center"/>
            <w:hideMark/>
          </w:tcPr>
          <w:p w14:paraId="445A5E99"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IRE</w:t>
            </w:r>
          </w:p>
        </w:tc>
        <w:tc>
          <w:tcPr>
            <w:tcW w:w="6951" w:type="dxa"/>
            <w:noWrap/>
            <w:vAlign w:val="center"/>
            <w:hideMark/>
          </w:tcPr>
          <w:p w14:paraId="59EBECE5"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Interest Rate Exposure</w:t>
            </w:r>
          </w:p>
        </w:tc>
      </w:tr>
      <w:tr w:rsidR="007D0EB4" w:rsidRPr="00F6618E" w14:paraId="4B91B449" w14:textId="77777777" w:rsidTr="004B5B97">
        <w:trPr>
          <w:trHeight w:val="340"/>
        </w:trPr>
        <w:tc>
          <w:tcPr>
            <w:tcW w:w="2065" w:type="dxa"/>
            <w:vAlign w:val="center"/>
            <w:hideMark/>
          </w:tcPr>
          <w:p w14:paraId="5A01CD6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IRM</w:t>
            </w:r>
          </w:p>
        </w:tc>
        <w:tc>
          <w:tcPr>
            <w:tcW w:w="6951" w:type="dxa"/>
            <w:vAlign w:val="center"/>
            <w:hideMark/>
          </w:tcPr>
          <w:p w14:paraId="12330D4B"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 xml:space="preserve">Independent Risk Management </w:t>
            </w:r>
          </w:p>
        </w:tc>
      </w:tr>
      <w:tr w:rsidR="007D0EB4" w:rsidRPr="00F6618E" w14:paraId="7D2140CD" w14:textId="77777777" w:rsidTr="004B5B97">
        <w:trPr>
          <w:trHeight w:val="340"/>
        </w:trPr>
        <w:tc>
          <w:tcPr>
            <w:tcW w:w="2065" w:type="dxa"/>
            <w:vAlign w:val="center"/>
            <w:hideMark/>
          </w:tcPr>
          <w:p w14:paraId="2FBE3DA5"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KI, KRI, UKI</w:t>
            </w:r>
          </w:p>
        </w:tc>
        <w:tc>
          <w:tcPr>
            <w:tcW w:w="6951" w:type="dxa"/>
            <w:vAlign w:val="center"/>
            <w:hideMark/>
          </w:tcPr>
          <w:p w14:paraId="304FB6B6"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Key Indicators, Key Risk Indicators, Universal Key Indicators</w:t>
            </w:r>
          </w:p>
        </w:tc>
      </w:tr>
      <w:tr w:rsidR="007D0EB4" w:rsidRPr="00F6618E" w14:paraId="4A7DC12A" w14:textId="77777777" w:rsidTr="004B5B97">
        <w:trPr>
          <w:trHeight w:val="340"/>
        </w:trPr>
        <w:tc>
          <w:tcPr>
            <w:tcW w:w="2065" w:type="dxa"/>
            <w:vAlign w:val="center"/>
            <w:hideMark/>
          </w:tcPr>
          <w:p w14:paraId="7FBFECC2"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KOR</w:t>
            </w:r>
          </w:p>
        </w:tc>
        <w:tc>
          <w:tcPr>
            <w:tcW w:w="6951" w:type="dxa"/>
            <w:vAlign w:val="center"/>
            <w:hideMark/>
          </w:tcPr>
          <w:p w14:paraId="00EACB16"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Key Operational Risks</w:t>
            </w:r>
          </w:p>
        </w:tc>
      </w:tr>
      <w:tr w:rsidR="007D0EB4" w:rsidRPr="00F6618E" w14:paraId="1CCAC776" w14:textId="77777777" w:rsidTr="004B5B97">
        <w:trPr>
          <w:trHeight w:val="340"/>
        </w:trPr>
        <w:tc>
          <w:tcPr>
            <w:tcW w:w="2065" w:type="dxa"/>
            <w:vAlign w:val="center"/>
            <w:hideMark/>
          </w:tcPr>
          <w:p w14:paraId="55684E9C"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LATAM</w:t>
            </w:r>
          </w:p>
        </w:tc>
        <w:tc>
          <w:tcPr>
            <w:tcW w:w="6951" w:type="dxa"/>
            <w:vAlign w:val="center"/>
            <w:hideMark/>
          </w:tcPr>
          <w:p w14:paraId="1D9CA09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Latin America</w:t>
            </w:r>
          </w:p>
        </w:tc>
      </w:tr>
      <w:tr w:rsidR="007D0EB4" w:rsidRPr="00F6618E" w14:paraId="763FDEFA" w14:textId="77777777" w:rsidTr="004B5B97">
        <w:trPr>
          <w:trHeight w:val="340"/>
        </w:trPr>
        <w:tc>
          <w:tcPr>
            <w:tcW w:w="2065" w:type="dxa"/>
            <w:vAlign w:val="center"/>
            <w:hideMark/>
          </w:tcPr>
          <w:p w14:paraId="2A52A939"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LCR</w:t>
            </w:r>
          </w:p>
        </w:tc>
        <w:tc>
          <w:tcPr>
            <w:tcW w:w="6951" w:type="dxa"/>
            <w:vAlign w:val="center"/>
            <w:hideMark/>
          </w:tcPr>
          <w:p w14:paraId="4032C1C1"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Liquidity Coverage Ratio</w:t>
            </w:r>
          </w:p>
        </w:tc>
      </w:tr>
      <w:tr w:rsidR="007D0EB4" w:rsidRPr="00F6618E" w14:paraId="5F0D8F7D" w14:textId="77777777" w:rsidTr="004B5B97">
        <w:trPr>
          <w:trHeight w:val="340"/>
        </w:trPr>
        <w:tc>
          <w:tcPr>
            <w:tcW w:w="2065" w:type="dxa"/>
            <w:vAlign w:val="center"/>
            <w:hideMark/>
          </w:tcPr>
          <w:p w14:paraId="0B5A232C"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 xml:space="preserve">LE </w:t>
            </w:r>
          </w:p>
        </w:tc>
        <w:tc>
          <w:tcPr>
            <w:tcW w:w="6951" w:type="dxa"/>
            <w:vAlign w:val="center"/>
            <w:hideMark/>
          </w:tcPr>
          <w:p w14:paraId="1C03F653"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Legal Entity</w:t>
            </w:r>
          </w:p>
        </w:tc>
      </w:tr>
      <w:tr w:rsidR="007D0EB4" w:rsidRPr="00F6618E" w14:paraId="048F8143" w14:textId="77777777" w:rsidTr="004B5B97">
        <w:trPr>
          <w:trHeight w:val="340"/>
        </w:trPr>
        <w:tc>
          <w:tcPr>
            <w:tcW w:w="2065" w:type="dxa"/>
            <w:noWrap/>
            <w:vAlign w:val="center"/>
            <w:hideMark/>
          </w:tcPr>
          <w:p w14:paraId="2646973D"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LoD</w:t>
            </w:r>
          </w:p>
        </w:tc>
        <w:tc>
          <w:tcPr>
            <w:tcW w:w="6951" w:type="dxa"/>
            <w:noWrap/>
            <w:vAlign w:val="center"/>
            <w:hideMark/>
          </w:tcPr>
          <w:p w14:paraId="7D24B70E"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Lines of Defense. Used as 1LoD, 2LoD, or 3LoD.</w:t>
            </w:r>
          </w:p>
        </w:tc>
      </w:tr>
      <w:tr w:rsidR="007D0EB4" w:rsidRPr="00F6618E" w14:paraId="7261C76E" w14:textId="77777777" w:rsidTr="004B5B97">
        <w:trPr>
          <w:trHeight w:val="340"/>
        </w:trPr>
        <w:tc>
          <w:tcPr>
            <w:tcW w:w="2065" w:type="dxa"/>
            <w:noWrap/>
            <w:vAlign w:val="center"/>
            <w:hideMark/>
          </w:tcPr>
          <w:p w14:paraId="105E8D7B"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LRR</w:t>
            </w:r>
          </w:p>
        </w:tc>
        <w:tc>
          <w:tcPr>
            <w:tcW w:w="6951" w:type="dxa"/>
            <w:noWrap/>
            <w:vAlign w:val="center"/>
            <w:hideMark/>
          </w:tcPr>
          <w:p w14:paraId="16666C9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Laws, Regulations and Rules</w:t>
            </w:r>
          </w:p>
        </w:tc>
      </w:tr>
      <w:tr w:rsidR="007D0EB4" w:rsidRPr="00F6618E" w14:paraId="729BFEE3" w14:textId="77777777" w:rsidTr="004B5B97">
        <w:trPr>
          <w:trHeight w:val="340"/>
        </w:trPr>
        <w:tc>
          <w:tcPr>
            <w:tcW w:w="2065" w:type="dxa"/>
            <w:noWrap/>
            <w:vAlign w:val="center"/>
            <w:hideMark/>
          </w:tcPr>
          <w:p w14:paraId="2C2CC597"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MAT</w:t>
            </w:r>
          </w:p>
        </w:tc>
        <w:tc>
          <w:tcPr>
            <w:tcW w:w="6951" w:type="dxa"/>
            <w:noWrap/>
            <w:vAlign w:val="center"/>
            <w:hideMark/>
          </w:tcPr>
          <w:p w14:paraId="4CA50ACB"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Management Action Trigger</w:t>
            </w:r>
          </w:p>
        </w:tc>
      </w:tr>
      <w:tr w:rsidR="007D0EB4" w:rsidRPr="00F6618E" w14:paraId="4A804076" w14:textId="77777777" w:rsidTr="004B5B97">
        <w:trPr>
          <w:trHeight w:val="340"/>
        </w:trPr>
        <w:tc>
          <w:tcPr>
            <w:tcW w:w="2065" w:type="dxa"/>
            <w:vAlign w:val="center"/>
            <w:hideMark/>
          </w:tcPr>
          <w:p w14:paraId="658E2EF1"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MCA</w:t>
            </w:r>
          </w:p>
        </w:tc>
        <w:tc>
          <w:tcPr>
            <w:tcW w:w="6951" w:type="dxa"/>
            <w:vAlign w:val="center"/>
            <w:hideMark/>
          </w:tcPr>
          <w:p w14:paraId="1AABC3B9"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 xml:space="preserve">Manager's Control Assessment </w:t>
            </w:r>
          </w:p>
        </w:tc>
      </w:tr>
      <w:tr w:rsidR="007D0EB4" w:rsidRPr="00F6618E" w14:paraId="6EFACD4C" w14:textId="77777777" w:rsidTr="004B5B97">
        <w:trPr>
          <w:trHeight w:val="340"/>
        </w:trPr>
        <w:tc>
          <w:tcPr>
            <w:tcW w:w="2065" w:type="dxa"/>
            <w:noWrap/>
            <w:vAlign w:val="center"/>
            <w:hideMark/>
          </w:tcPr>
          <w:p w14:paraId="3535C7C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MLE</w:t>
            </w:r>
          </w:p>
        </w:tc>
        <w:tc>
          <w:tcPr>
            <w:tcW w:w="6951" w:type="dxa"/>
            <w:noWrap/>
            <w:vAlign w:val="center"/>
            <w:hideMark/>
          </w:tcPr>
          <w:p w14:paraId="6B3F1AFA"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Material Legal Entity</w:t>
            </w:r>
          </w:p>
        </w:tc>
      </w:tr>
      <w:tr w:rsidR="007D0EB4" w:rsidRPr="00F6618E" w14:paraId="090FD775" w14:textId="77777777" w:rsidTr="004B5B97">
        <w:trPr>
          <w:trHeight w:val="340"/>
        </w:trPr>
        <w:tc>
          <w:tcPr>
            <w:tcW w:w="2065" w:type="dxa"/>
            <w:noWrap/>
            <w:vAlign w:val="center"/>
            <w:hideMark/>
          </w:tcPr>
          <w:p w14:paraId="26A2CCC7"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MRI</w:t>
            </w:r>
          </w:p>
        </w:tc>
        <w:tc>
          <w:tcPr>
            <w:tcW w:w="6951" w:type="dxa"/>
            <w:noWrap/>
            <w:vAlign w:val="center"/>
            <w:hideMark/>
          </w:tcPr>
          <w:p w14:paraId="4E96C4FC"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Material Risk Inventory</w:t>
            </w:r>
          </w:p>
        </w:tc>
      </w:tr>
      <w:tr w:rsidR="007D0EB4" w:rsidRPr="00F6618E" w14:paraId="22D00AF6" w14:textId="77777777" w:rsidTr="004B5B97">
        <w:trPr>
          <w:trHeight w:val="340"/>
        </w:trPr>
        <w:tc>
          <w:tcPr>
            <w:tcW w:w="2065" w:type="dxa"/>
            <w:vAlign w:val="center"/>
            <w:hideMark/>
          </w:tcPr>
          <w:p w14:paraId="3FC96A29"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 xml:space="preserve">MTM </w:t>
            </w:r>
          </w:p>
        </w:tc>
        <w:tc>
          <w:tcPr>
            <w:tcW w:w="6951" w:type="dxa"/>
            <w:vAlign w:val="center"/>
            <w:hideMark/>
          </w:tcPr>
          <w:p w14:paraId="2CFA8BC0"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 xml:space="preserve">Mark to Market </w:t>
            </w:r>
          </w:p>
        </w:tc>
      </w:tr>
      <w:tr w:rsidR="007D0EB4" w:rsidRPr="00F6618E" w14:paraId="067EB76E" w14:textId="77777777" w:rsidTr="004B5B97">
        <w:trPr>
          <w:trHeight w:val="340"/>
        </w:trPr>
        <w:tc>
          <w:tcPr>
            <w:tcW w:w="2065" w:type="dxa"/>
            <w:vAlign w:val="center"/>
            <w:hideMark/>
          </w:tcPr>
          <w:p w14:paraId="22413A6A"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NAM</w:t>
            </w:r>
          </w:p>
        </w:tc>
        <w:tc>
          <w:tcPr>
            <w:tcW w:w="6951" w:type="dxa"/>
            <w:vAlign w:val="center"/>
            <w:hideMark/>
          </w:tcPr>
          <w:p w14:paraId="3B6AAD14"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North America</w:t>
            </w:r>
          </w:p>
        </w:tc>
      </w:tr>
      <w:tr w:rsidR="007D0EB4" w:rsidRPr="00F6618E" w14:paraId="6C370C86" w14:textId="77777777" w:rsidTr="004B5B97">
        <w:trPr>
          <w:trHeight w:val="340"/>
        </w:trPr>
        <w:tc>
          <w:tcPr>
            <w:tcW w:w="2065" w:type="dxa"/>
            <w:noWrap/>
            <w:vAlign w:val="center"/>
            <w:hideMark/>
          </w:tcPr>
          <w:p w14:paraId="464F9E4C"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NIR</w:t>
            </w:r>
          </w:p>
        </w:tc>
        <w:tc>
          <w:tcPr>
            <w:tcW w:w="6951" w:type="dxa"/>
            <w:noWrap/>
            <w:vAlign w:val="center"/>
            <w:hideMark/>
          </w:tcPr>
          <w:p w14:paraId="7778B14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Net Interest Revenue</w:t>
            </w:r>
          </w:p>
        </w:tc>
      </w:tr>
      <w:tr w:rsidR="007D0EB4" w:rsidRPr="00F6618E" w14:paraId="5BF9F19C" w14:textId="77777777" w:rsidTr="004B5B97">
        <w:trPr>
          <w:trHeight w:val="340"/>
        </w:trPr>
        <w:tc>
          <w:tcPr>
            <w:tcW w:w="2065" w:type="dxa"/>
            <w:noWrap/>
            <w:vAlign w:val="center"/>
            <w:hideMark/>
          </w:tcPr>
          <w:p w14:paraId="16E84F04"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OCI</w:t>
            </w:r>
          </w:p>
        </w:tc>
        <w:tc>
          <w:tcPr>
            <w:tcW w:w="6951" w:type="dxa"/>
            <w:noWrap/>
            <w:vAlign w:val="center"/>
            <w:hideMark/>
          </w:tcPr>
          <w:p w14:paraId="692C1A4D"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Other Comprehensive Income</w:t>
            </w:r>
          </w:p>
        </w:tc>
      </w:tr>
      <w:tr w:rsidR="007D0EB4" w:rsidRPr="00F6618E" w14:paraId="132123E4" w14:textId="77777777" w:rsidTr="004B5B97">
        <w:trPr>
          <w:trHeight w:val="340"/>
        </w:trPr>
        <w:tc>
          <w:tcPr>
            <w:tcW w:w="2065" w:type="dxa"/>
            <w:vAlign w:val="center"/>
            <w:hideMark/>
          </w:tcPr>
          <w:p w14:paraId="1EB6CE42"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ORM</w:t>
            </w:r>
          </w:p>
        </w:tc>
        <w:tc>
          <w:tcPr>
            <w:tcW w:w="6951" w:type="dxa"/>
            <w:vAlign w:val="center"/>
            <w:hideMark/>
          </w:tcPr>
          <w:p w14:paraId="6613729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 xml:space="preserve">Operational Risk Management </w:t>
            </w:r>
          </w:p>
        </w:tc>
      </w:tr>
      <w:tr w:rsidR="007D0EB4" w:rsidRPr="00F6618E" w14:paraId="591462EF" w14:textId="77777777" w:rsidTr="004B5B97">
        <w:trPr>
          <w:trHeight w:val="340"/>
        </w:trPr>
        <w:tc>
          <w:tcPr>
            <w:tcW w:w="2065" w:type="dxa"/>
            <w:noWrap/>
            <w:vAlign w:val="center"/>
            <w:hideMark/>
          </w:tcPr>
          <w:p w14:paraId="796AAB68"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PPLs</w:t>
            </w:r>
          </w:p>
        </w:tc>
        <w:tc>
          <w:tcPr>
            <w:tcW w:w="6951" w:type="dxa"/>
            <w:noWrap/>
            <w:vAlign w:val="center"/>
            <w:hideMark/>
          </w:tcPr>
          <w:p w14:paraId="0C3E9CDC"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Permitted Product Lists</w:t>
            </w:r>
          </w:p>
        </w:tc>
      </w:tr>
      <w:tr w:rsidR="007D0EB4" w:rsidRPr="00F6618E" w14:paraId="44D4DFE5" w14:textId="77777777" w:rsidTr="004B5B97">
        <w:trPr>
          <w:trHeight w:val="340"/>
        </w:trPr>
        <w:tc>
          <w:tcPr>
            <w:tcW w:w="2065" w:type="dxa"/>
            <w:noWrap/>
            <w:vAlign w:val="center"/>
            <w:hideMark/>
          </w:tcPr>
          <w:p w14:paraId="7E2461C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QAF</w:t>
            </w:r>
          </w:p>
        </w:tc>
        <w:tc>
          <w:tcPr>
            <w:tcW w:w="6951" w:type="dxa"/>
            <w:noWrap/>
            <w:vAlign w:val="center"/>
            <w:hideMark/>
          </w:tcPr>
          <w:p w14:paraId="54C92D1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Quality Assurance Framework</w:t>
            </w:r>
          </w:p>
        </w:tc>
      </w:tr>
      <w:tr w:rsidR="007D0EB4" w:rsidRPr="00F6618E" w14:paraId="23985933" w14:textId="77777777" w:rsidTr="004B5B97">
        <w:trPr>
          <w:trHeight w:val="340"/>
        </w:trPr>
        <w:tc>
          <w:tcPr>
            <w:tcW w:w="2065" w:type="dxa"/>
            <w:vAlign w:val="center"/>
            <w:hideMark/>
          </w:tcPr>
          <w:p w14:paraId="359E21AB"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RAF</w:t>
            </w:r>
          </w:p>
        </w:tc>
        <w:tc>
          <w:tcPr>
            <w:tcW w:w="6951" w:type="dxa"/>
            <w:vAlign w:val="center"/>
            <w:hideMark/>
          </w:tcPr>
          <w:p w14:paraId="0E7E6FEC"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Risk Appetite Framework</w:t>
            </w:r>
          </w:p>
        </w:tc>
      </w:tr>
      <w:tr w:rsidR="007D0EB4" w:rsidRPr="00F6618E" w14:paraId="522152D9" w14:textId="77777777" w:rsidTr="004B5B97">
        <w:trPr>
          <w:trHeight w:val="340"/>
        </w:trPr>
        <w:tc>
          <w:tcPr>
            <w:tcW w:w="2065" w:type="dxa"/>
            <w:vAlign w:val="center"/>
            <w:hideMark/>
          </w:tcPr>
          <w:p w14:paraId="26A2B04D"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RAR</w:t>
            </w:r>
          </w:p>
        </w:tc>
        <w:tc>
          <w:tcPr>
            <w:tcW w:w="6951" w:type="dxa"/>
            <w:vAlign w:val="center"/>
            <w:hideMark/>
          </w:tcPr>
          <w:p w14:paraId="4A524B58"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Risk Appetite Ratio</w:t>
            </w:r>
          </w:p>
        </w:tc>
      </w:tr>
      <w:tr w:rsidR="007D0EB4" w:rsidRPr="00F6618E" w14:paraId="62445AD0" w14:textId="77777777" w:rsidTr="004B5B97">
        <w:trPr>
          <w:trHeight w:val="340"/>
        </w:trPr>
        <w:tc>
          <w:tcPr>
            <w:tcW w:w="2065" w:type="dxa"/>
            <w:vAlign w:val="center"/>
            <w:hideMark/>
          </w:tcPr>
          <w:p w14:paraId="63742D8A"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RAS</w:t>
            </w:r>
          </w:p>
        </w:tc>
        <w:tc>
          <w:tcPr>
            <w:tcW w:w="6951" w:type="dxa"/>
            <w:vAlign w:val="center"/>
            <w:hideMark/>
          </w:tcPr>
          <w:p w14:paraId="7B03F7B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Risk Appetite Statement</w:t>
            </w:r>
          </w:p>
        </w:tc>
      </w:tr>
      <w:tr w:rsidR="007D0EB4" w:rsidRPr="00F6618E" w14:paraId="4D2FBD17" w14:textId="77777777" w:rsidTr="004B5B97">
        <w:trPr>
          <w:trHeight w:val="340"/>
        </w:trPr>
        <w:tc>
          <w:tcPr>
            <w:tcW w:w="2065" w:type="dxa"/>
            <w:vAlign w:val="center"/>
            <w:hideMark/>
          </w:tcPr>
          <w:p w14:paraId="735CC449"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RLAP</w:t>
            </w:r>
          </w:p>
        </w:tc>
        <w:tc>
          <w:tcPr>
            <w:tcW w:w="6951" w:type="dxa"/>
            <w:vAlign w:val="center"/>
            <w:hideMark/>
          </w:tcPr>
          <w:p w14:paraId="48E325D8"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Resolution Liquidity Adequacy &amp; Positioning</w:t>
            </w:r>
          </w:p>
        </w:tc>
      </w:tr>
      <w:tr w:rsidR="007D0EB4" w:rsidRPr="00F6618E" w14:paraId="3B30F7AD" w14:textId="77777777" w:rsidTr="004B5B97">
        <w:trPr>
          <w:trHeight w:val="340"/>
        </w:trPr>
        <w:tc>
          <w:tcPr>
            <w:tcW w:w="2065" w:type="dxa"/>
            <w:vAlign w:val="center"/>
            <w:hideMark/>
          </w:tcPr>
          <w:p w14:paraId="3B75EB3B"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RMC</w:t>
            </w:r>
          </w:p>
        </w:tc>
        <w:tc>
          <w:tcPr>
            <w:tcW w:w="6951" w:type="dxa"/>
            <w:vAlign w:val="center"/>
            <w:hideMark/>
          </w:tcPr>
          <w:p w14:paraId="35CE020A"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 xml:space="preserve">Risk Management Committee </w:t>
            </w:r>
          </w:p>
        </w:tc>
      </w:tr>
      <w:tr w:rsidR="007D0EB4" w:rsidRPr="00F6618E" w14:paraId="467BE9BD" w14:textId="77777777" w:rsidTr="004B5B97">
        <w:trPr>
          <w:trHeight w:val="340"/>
        </w:trPr>
        <w:tc>
          <w:tcPr>
            <w:tcW w:w="2065" w:type="dxa"/>
            <w:vAlign w:val="center"/>
            <w:hideMark/>
          </w:tcPr>
          <w:p w14:paraId="609A6A9B"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RMF</w:t>
            </w:r>
          </w:p>
        </w:tc>
        <w:tc>
          <w:tcPr>
            <w:tcW w:w="6951" w:type="dxa"/>
            <w:vAlign w:val="center"/>
            <w:hideMark/>
          </w:tcPr>
          <w:p w14:paraId="1EF8B672"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Risk Management Framework</w:t>
            </w:r>
          </w:p>
        </w:tc>
      </w:tr>
      <w:tr w:rsidR="007D0EB4" w:rsidRPr="00F6618E" w14:paraId="7E3AC5C1" w14:textId="77777777" w:rsidTr="004B5B97">
        <w:trPr>
          <w:trHeight w:val="340"/>
        </w:trPr>
        <w:tc>
          <w:tcPr>
            <w:tcW w:w="2065" w:type="dxa"/>
            <w:noWrap/>
            <w:vAlign w:val="center"/>
            <w:hideMark/>
          </w:tcPr>
          <w:p w14:paraId="1AC2C597"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ROTA</w:t>
            </w:r>
          </w:p>
        </w:tc>
        <w:tc>
          <w:tcPr>
            <w:tcW w:w="6951" w:type="dxa"/>
            <w:noWrap/>
            <w:vAlign w:val="center"/>
            <w:hideMark/>
          </w:tcPr>
          <w:p w14:paraId="3D22E1BC"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Return on Total Assets</w:t>
            </w:r>
          </w:p>
        </w:tc>
      </w:tr>
      <w:tr w:rsidR="007D0EB4" w:rsidRPr="00F6618E" w14:paraId="23113A41" w14:textId="77777777" w:rsidTr="004B5B97">
        <w:trPr>
          <w:trHeight w:val="340"/>
        </w:trPr>
        <w:tc>
          <w:tcPr>
            <w:tcW w:w="2065" w:type="dxa"/>
            <w:noWrap/>
            <w:vAlign w:val="center"/>
            <w:hideMark/>
          </w:tcPr>
          <w:p w14:paraId="2FC182DD"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ROTCE</w:t>
            </w:r>
          </w:p>
        </w:tc>
        <w:tc>
          <w:tcPr>
            <w:tcW w:w="6951" w:type="dxa"/>
            <w:noWrap/>
            <w:vAlign w:val="center"/>
            <w:hideMark/>
          </w:tcPr>
          <w:p w14:paraId="2DC6149B"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Return on Tangible Common Equity</w:t>
            </w:r>
          </w:p>
        </w:tc>
      </w:tr>
      <w:tr w:rsidR="007D0EB4" w:rsidRPr="00F6618E" w14:paraId="5DC2A370" w14:textId="77777777" w:rsidTr="004B5B97">
        <w:trPr>
          <w:trHeight w:val="340"/>
        </w:trPr>
        <w:tc>
          <w:tcPr>
            <w:tcW w:w="2065" w:type="dxa"/>
            <w:vAlign w:val="center"/>
            <w:hideMark/>
          </w:tcPr>
          <w:p w14:paraId="66F48F13"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RRC, GRRC</w:t>
            </w:r>
          </w:p>
        </w:tc>
        <w:tc>
          <w:tcPr>
            <w:tcW w:w="6951" w:type="dxa"/>
            <w:vAlign w:val="center"/>
            <w:hideMark/>
          </w:tcPr>
          <w:p w14:paraId="4F21C656"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 xml:space="preserve">Reputation Risk Committee, Group Reputation Risk Committee </w:t>
            </w:r>
          </w:p>
        </w:tc>
      </w:tr>
      <w:tr w:rsidR="007D0EB4" w:rsidRPr="00F6618E" w14:paraId="6E8A0653" w14:textId="77777777" w:rsidTr="004B5B97">
        <w:trPr>
          <w:trHeight w:val="340"/>
        </w:trPr>
        <w:tc>
          <w:tcPr>
            <w:tcW w:w="2065" w:type="dxa"/>
            <w:noWrap/>
            <w:vAlign w:val="center"/>
            <w:hideMark/>
          </w:tcPr>
          <w:p w14:paraId="0F04E37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RTU</w:t>
            </w:r>
          </w:p>
        </w:tc>
        <w:tc>
          <w:tcPr>
            <w:tcW w:w="6951" w:type="dxa"/>
            <w:noWrap/>
            <w:vAlign w:val="center"/>
            <w:hideMark/>
          </w:tcPr>
          <w:p w14:paraId="49983084"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Risk Taking Unit</w:t>
            </w:r>
          </w:p>
        </w:tc>
      </w:tr>
      <w:tr w:rsidR="007D0EB4" w:rsidRPr="00F6618E" w14:paraId="127E1D6A" w14:textId="77777777" w:rsidTr="004B5B97">
        <w:trPr>
          <w:trHeight w:val="340"/>
        </w:trPr>
        <w:tc>
          <w:tcPr>
            <w:tcW w:w="2065" w:type="dxa"/>
            <w:noWrap/>
            <w:vAlign w:val="center"/>
            <w:hideMark/>
          </w:tcPr>
          <w:p w14:paraId="40219E35"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SMR</w:t>
            </w:r>
          </w:p>
        </w:tc>
        <w:tc>
          <w:tcPr>
            <w:tcW w:w="6951" w:type="dxa"/>
            <w:noWrap/>
            <w:vAlign w:val="center"/>
            <w:hideMark/>
          </w:tcPr>
          <w:p w14:paraId="64BF1B10"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Standard Management Report, based on BCBS239 requirement</w:t>
            </w:r>
          </w:p>
        </w:tc>
      </w:tr>
      <w:tr w:rsidR="007D0EB4" w:rsidRPr="00F6618E" w14:paraId="1F74B4CF" w14:textId="77777777" w:rsidTr="004B5B97">
        <w:trPr>
          <w:trHeight w:val="340"/>
        </w:trPr>
        <w:tc>
          <w:tcPr>
            <w:tcW w:w="2065" w:type="dxa"/>
            <w:noWrap/>
            <w:vAlign w:val="center"/>
            <w:hideMark/>
          </w:tcPr>
          <w:p w14:paraId="0B3B34DE"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SPOE</w:t>
            </w:r>
          </w:p>
        </w:tc>
        <w:tc>
          <w:tcPr>
            <w:tcW w:w="6951" w:type="dxa"/>
            <w:noWrap/>
            <w:vAlign w:val="center"/>
            <w:hideMark/>
          </w:tcPr>
          <w:p w14:paraId="7967D574"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Single Point of Entry</w:t>
            </w:r>
          </w:p>
        </w:tc>
      </w:tr>
      <w:tr w:rsidR="007D0EB4" w:rsidRPr="00F6618E" w14:paraId="3C0B6EE0" w14:textId="77777777" w:rsidTr="004B5B97">
        <w:trPr>
          <w:trHeight w:val="340"/>
        </w:trPr>
        <w:tc>
          <w:tcPr>
            <w:tcW w:w="2065" w:type="dxa"/>
            <w:noWrap/>
            <w:vAlign w:val="center"/>
            <w:hideMark/>
          </w:tcPr>
          <w:p w14:paraId="5B4931CE"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SPQR</w:t>
            </w:r>
          </w:p>
        </w:tc>
        <w:tc>
          <w:tcPr>
            <w:tcW w:w="6951" w:type="dxa"/>
            <w:noWrap/>
            <w:vAlign w:val="center"/>
            <w:hideMark/>
          </w:tcPr>
          <w:p w14:paraId="2208860D"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Standardized Portfolio Quality Review</w:t>
            </w:r>
          </w:p>
        </w:tc>
      </w:tr>
      <w:tr w:rsidR="007D0EB4" w:rsidRPr="00F6618E" w14:paraId="3C5640C8" w14:textId="77777777" w:rsidTr="004B5B97">
        <w:trPr>
          <w:trHeight w:val="340"/>
        </w:trPr>
        <w:tc>
          <w:tcPr>
            <w:tcW w:w="2065" w:type="dxa"/>
            <w:noWrap/>
            <w:vAlign w:val="center"/>
            <w:hideMark/>
          </w:tcPr>
          <w:p w14:paraId="1DA94C29"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SRC, GSRC</w:t>
            </w:r>
          </w:p>
        </w:tc>
        <w:tc>
          <w:tcPr>
            <w:tcW w:w="6951" w:type="dxa"/>
            <w:noWrap/>
            <w:vAlign w:val="center"/>
            <w:hideMark/>
          </w:tcPr>
          <w:p w14:paraId="02DB90FF"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Strategic Risk Committee, Group Strategic Risk Committee</w:t>
            </w:r>
          </w:p>
        </w:tc>
      </w:tr>
      <w:tr w:rsidR="007D0EB4" w:rsidRPr="00F6618E" w14:paraId="4C246082" w14:textId="77777777" w:rsidTr="004B5B97">
        <w:trPr>
          <w:trHeight w:val="340"/>
        </w:trPr>
        <w:tc>
          <w:tcPr>
            <w:tcW w:w="2065" w:type="dxa"/>
            <w:vAlign w:val="center"/>
            <w:hideMark/>
          </w:tcPr>
          <w:p w14:paraId="540010B3"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SVaR</w:t>
            </w:r>
          </w:p>
        </w:tc>
        <w:tc>
          <w:tcPr>
            <w:tcW w:w="6951" w:type="dxa"/>
            <w:vAlign w:val="center"/>
            <w:hideMark/>
          </w:tcPr>
          <w:p w14:paraId="218D7DEB"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Stressed Value at Risk</w:t>
            </w:r>
          </w:p>
        </w:tc>
      </w:tr>
      <w:tr w:rsidR="007D0EB4" w:rsidRPr="00F6618E" w14:paraId="29A0591C" w14:textId="77777777" w:rsidTr="004B5B97">
        <w:trPr>
          <w:trHeight w:val="340"/>
        </w:trPr>
        <w:tc>
          <w:tcPr>
            <w:tcW w:w="2065" w:type="dxa"/>
            <w:vAlign w:val="center"/>
            <w:hideMark/>
          </w:tcPr>
          <w:p w14:paraId="2A9747A6"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TLST</w:t>
            </w:r>
          </w:p>
        </w:tc>
        <w:tc>
          <w:tcPr>
            <w:tcW w:w="6951" w:type="dxa"/>
            <w:vAlign w:val="center"/>
            <w:hideMark/>
          </w:tcPr>
          <w:p w14:paraId="08A47EC7"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Term Liquidity Stress Test</w:t>
            </w:r>
          </w:p>
        </w:tc>
      </w:tr>
      <w:tr w:rsidR="007D0EB4" w:rsidRPr="00F6618E" w14:paraId="5BEF628A" w14:textId="77777777" w:rsidTr="004B5B97">
        <w:trPr>
          <w:trHeight w:val="340"/>
        </w:trPr>
        <w:tc>
          <w:tcPr>
            <w:tcW w:w="2065" w:type="dxa"/>
            <w:vAlign w:val="center"/>
            <w:hideMark/>
          </w:tcPr>
          <w:p w14:paraId="07873F39"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TRM</w:t>
            </w:r>
          </w:p>
        </w:tc>
        <w:tc>
          <w:tcPr>
            <w:tcW w:w="6951" w:type="dxa"/>
            <w:vAlign w:val="center"/>
            <w:hideMark/>
          </w:tcPr>
          <w:p w14:paraId="6A911C16"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 xml:space="preserve">Treasury Risk Management </w:t>
            </w:r>
          </w:p>
        </w:tc>
      </w:tr>
      <w:tr w:rsidR="007D0EB4" w:rsidRPr="007703C8" w14:paraId="67D119FA" w14:textId="77777777" w:rsidTr="004B5B97">
        <w:trPr>
          <w:trHeight w:val="340"/>
        </w:trPr>
        <w:tc>
          <w:tcPr>
            <w:tcW w:w="2065" w:type="dxa"/>
            <w:vAlign w:val="center"/>
            <w:hideMark/>
          </w:tcPr>
          <w:p w14:paraId="09A42D37" w14:textId="77777777" w:rsidR="007D0EB4" w:rsidRPr="00F6618E" w:rsidRDefault="007D0EB4" w:rsidP="004B5B97">
            <w:pPr>
              <w:spacing w:before="0" w:after="0"/>
              <w:jc w:val="left"/>
              <w:rPr>
                <w:rFonts w:ascii="Arial" w:hAnsi="Arial" w:cs="Arial"/>
                <w:color w:val="000000"/>
                <w:sz w:val="20"/>
                <w:szCs w:val="20"/>
                <w:lang w:val="en-US" w:eastAsia="zh-CN"/>
              </w:rPr>
            </w:pPr>
            <w:r w:rsidRPr="00F6618E">
              <w:rPr>
                <w:rFonts w:ascii="Arial" w:hAnsi="Arial" w:cs="Arial"/>
                <w:color w:val="000000"/>
                <w:sz w:val="20"/>
                <w:szCs w:val="20"/>
                <w:lang w:val="en-US" w:eastAsia="zh-CN"/>
              </w:rPr>
              <w:t>VaR</w:t>
            </w:r>
          </w:p>
        </w:tc>
        <w:tc>
          <w:tcPr>
            <w:tcW w:w="6951" w:type="dxa"/>
            <w:vAlign w:val="center"/>
            <w:hideMark/>
          </w:tcPr>
          <w:p w14:paraId="7A674BBA" w14:textId="77777777" w:rsidR="007D0EB4" w:rsidRPr="00F6618E" w:rsidRDefault="007D0EB4" w:rsidP="004B5B97">
            <w:pPr>
              <w:spacing w:before="0" w:after="0"/>
              <w:jc w:val="left"/>
              <w:rPr>
                <w:rFonts w:ascii="Arial" w:hAnsi="Arial" w:cs="Arial"/>
                <w:sz w:val="20"/>
                <w:szCs w:val="20"/>
                <w:lang w:val="en-US" w:eastAsia="zh-CN"/>
              </w:rPr>
            </w:pPr>
            <w:r w:rsidRPr="00F6618E">
              <w:rPr>
                <w:rFonts w:ascii="Arial" w:hAnsi="Arial" w:cs="Arial"/>
                <w:color w:val="000000"/>
                <w:sz w:val="20"/>
                <w:szCs w:val="20"/>
                <w:lang w:val="en-US" w:eastAsia="zh-CN"/>
              </w:rPr>
              <w:t>Value at Risk</w:t>
            </w:r>
          </w:p>
        </w:tc>
      </w:tr>
    </w:tbl>
    <w:p w14:paraId="5BDE6BF4" w14:textId="77777777" w:rsidR="007D0EB4" w:rsidRDefault="007D0EB4" w:rsidP="007D0EB4">
      <w:pPr>
        <w:spacing w:before="0" w:after="160" w:line="259" w:lineRule="auto"/>
      </w:pPr>
      <w:r>
        <w:rPr>
          <w:rFonts w:ascii="Arial" w:hAnsi="Arial" w:cs="Arial"/>
          <w:sz w:val="20"/>
          <w:szCs w:val="20"/>
        </w:rPr>
        <w:br w:type="page"/>
      </w:r>
    </w:p>
    <w:p w14:paraId="6D71931B" w14:textId="77777777" w:rsidR="00D340B6" w:rsidRPr="006E32C1" w:rsidRDefault="00D340B6" w:rsidP="00D340B6">
      <w:pPr>
        <w:pStyle w:val="Heading1"/>
        <w:spacing w:after="240"/>
        <w:rPr>
          <w:rFonts w:ascii="Arial" w:hAnsi="Arial" w:cs="Arial"/>
          <w:sz w:val="20"/>
          <w:szCs w:val="20"/>
          <w:lang w:val="en-US"/>
        </w:rPr>
      </w:pPr>
      <w:r w:rsidRPr="006E32C1">
        <w:rPr>
          <w:rFonts w:ascii="Arial" w:hAnsi="Arial" w:cs="Arial"/>
          <w:b/>
          <w:bCs/>
          <w:sz w:val="24"/>
          <w:szCs w:val="24"/>
          <w:lang w:val="en-US"/>
        </w:rPr>
        <w:t>Appendix B – Key local Regulations</w:t>
      </w:r>
      <w:bookmarkEnd w:id="156"/>
      <w:bookmarkEnd w:id="157"/>
    </w:p>
    <w:tbl>
      <w:tblPr>
        <w:tblStyle w:val="TableGrid"/>
        <w:tblW w:w="0" w:type="auto"/>
        <w:tblLook w:val="04A0" w:firstRow="1" w:lastRow="0" w:firstColumn="1" w:lastColumn="0" w:noHBand="0" w:noVBand="1"/>
      </w:tblPr>
      <w:tblGrid>
        <w:gridCol w:w="7586"/>
        <w:gridCol w:w="1883"/>
      </w:tblGrid>
      <w:tr w:rsidR="00D340B6" w:rsidRPr="006E32C1" w14:paraId="6A050562" w14:textId="77777777" w:rsidTr="003176CB">
        <w:trPr>
          <w:trHeight w:val="458"/>
        </w:trPr>
        <w:tc>
          <w:tcPr>
            <w:tcW w:w="7586" w:type="dxa"/>
            <w:shd w:val="clear" w:color="auto" w:fill="1F4E79" w:themeFill="accent5" w:themeFillShade="80"/>
            <w:vAlign w:val="center"/>
          </w:tcPr>
          <w:p w14:paraId="392563A7" w14:textId="77777777" w:rsidR="00D340B6" w:rsidRPr="006E32C1" w:rsidRDefault="00D340B6" w:rsidP="003176CB">
            <w:pPr>
              <w:rPr>
                <w:rFonts w:ascii="Arial" w:hAnsi="Arial" w:cs="Arial"/>
                <w:b/>
                <w:bCs/>
                <w:color w:val="FFFFFF" w:themeColor="background1"/>
                <w:sz w:val="20"/>
                <w:szCs w:val="20"/>
                <w:lang w:val="en-US"/>
              </w:rPr>
            </w:pPr>
            <w:r w:rsidRPr="006E32C1">
              <w:rPr>
                <w:rFonts w:ascii="Arial" w:hAnsi="Arial" w:cs="Arial"/>
                <w:b/>
                <w:bCs/>
                <w:color w:val="FFFFFF" w:themeColor="background1"/>
                <w:sz w:val="20"/>
                <w:szCs w:val="20"/>
                <w:lang w:val="en-US"/>
              </w:rPr>
              <w:t>Regulation/Law Name</w:t>
            </w:r>
          </w:p>
        </w:tc>
        <w:tc>
          <w:tcPr>
            <w:tcW w:w="1883" w:type="dxa"/>
            <w:shd w:val="clear" w:color="auto" w:fill="1F4E79" w:themeFill="accent5" w:themeFillShade="80"/>
            <w:vAlign w:val="center"/>
          </w:tcPr>
          <w:p w14:paraId="6A6CC66C" w14:textId="77777777" w:rsidR="00D340B6" w:rsidRPr="006E32C1" w:rsidRDefault="00D340B6" w:rsidP="003176CB">
            <w:pPr>
              <w:rPr>
                <w:rFonts w:ascii="Arial" w:hAnsi="Arial" w:cs="Arial"/>
                <w:b/>
                <w:bCs/>
                <w:color w:val="FFFFFF" w:themeColor="background1"/>
                <w:sz w:val="20"/>
                <w:szCs w:val="20"/>
                <w:lang w:val="en-US"/>
              </w:rPr>
            </w:pPr>
            <w:r w:rsidRPr="006E32C1">
              <w:rPr>
                <w:rFonts w:ascii="Arial" w:hAnsi="Arial" w:cs="Arial"/>
                <w:b/>
                <w:bCs/>
                <w:color w:val="FFFFFF" w:themeColor="background1"/>
                <w:sz w:val="20"/>
                <w:szCs w:val="20"/>
                <w:lang w:val="en-US"/>
              </w:rPr>
              <w:t>Issuer Body</w:t>
            </w:r>
          </w:p>
        </w:tc>
      </w:tr>
      <w:tr w:rsidR="00D340B6" w:rsidRPr="006E32C1" w14:paraId="47E5BDB3" w14:textId="77777777" w:rsidTr="003176CB">
        <w:trPr>
          <w:trHeight w:val="446"/>
        </w:trPr>
        <w:tc>
          <w:tcPr>
            <w:tcW w:w="7586" w:type="dxa"/>
          </w:tcPr>
          <w:p w14:paraId="5DAC6CDF" w14:textId="7C07DC08" w:rsidR="00D340B6" w:rsidRPr="006E32C1" w:rsidRDefault="00D340B6" w:rsidP="00D340B6">
            <w:pPr>
              <w:rPr>
                <w:rFonts w:ascii="Arial" w:hAnsi="Arial" w:cs="Arial"/>
                <w:color w:val="000000" w:themeColor="text1"/>
                <w:sz w:val="20"/>
                <w:szCs w:val="20"/>
                <w:lang w:val="en-US"/>
              </w:rPr>
            </w:pPr>
            <w:r w:rsidRPr="006E32C1">
              <w:rPr>
                <w:rFonts w:ascii="Arial" w:hAnsi="Arial" w:cs="Arial"/>
                <w:color w:val="000000" w:themeColor="text1"/>
                <w:sz w:val="20"/>
                <w:szCs w:val="20"/>
                <w:lang w:val="en-US"/>
              </w:rPr>
              <w:t>Consolidated Corporate Governance Guidelines 2022</w:t>
            </w:r>
          </w:p>
        </w:tc>
        <w:tc>
          <w:tcPr>
            <w:tcW w:w="1883" w:type="dxa"/>
          </w:tcPr>
          <w:p w14:paraId="3AD992E9" w14:textId="5AEDEEC0" w:rsidR="00D340B6" w:rsidRPr="006E32C1" w:rsidRDefault="00D340B6" w:rsidP="00D340B6">
            <w:pPr>
              <w:rPr>
                <w:rFonts w:ascii="Arial" w:hAnsi="Arial" w:cs="Arial"/>
                <w:color w:val="000000" w:themeColor="text1"/>
                <w:sz w:val="20"/>
                <w:szCs w:val="20"/>
                <w:lang w:val="en-US"/>
              </w:rPr>
            </w:pPr>
            <w:r w:rsidRPr="006E32C1">
              <w:rPr>
                <w:rFonts w:ascii="Arial" w:hAnsi="Arial" w:cs="Arial"/>
                <w:color w:val="000000" w:themeColor="text1"/>
                <w:sz w:val="20"/>
                <w:szCs w:val="20"/>
                <w:lang w:val="en-US"/>
              </w:rPr>
              <w:t>Bank of Uganda (BoU)</w:t>
            </w:r>
          </w:p>
        </w:tc>
      </w:tr>
      <w:tr w:rsidR="00D340B6" w:rsidRPr="006E32C1" w14:paraId="6468F69A" w14:textId="77777777" w:rsidTr="003176CB">
        <w:trPr>
          <w:trHeight w:val="630"/>
        </w:trPr>
        <w:tc>
          <w:tcPr>
            <w:tcW w:w="7586" w:type="dxa"/>
          </w:tcPr>
          <w:p w14:paraId="53AB59B0" w14:textId="0DF1FD08" w:rsidR="00D340B6" w:rsidRPr="006E32C1" w:rsidRDefault="00D340B6" w:rsidP="00D340B6">
            <w:pPr>
              <w:rPr>
                <w:rFonts w:ascii="Arial" w:hAnsi="Arial" w:cs="Arial"/>
                <w:color w:val="000000" w:themeColor="text1"/>
                <w:sz w:val="20"/>
                <w:szCs w:val="20"/>
                <w:lang w:val="en-US"/>
              </w:rPr>
            </w:pPr>
            <w:r w:rsidRPr="006E32C1">
              <w:rPr>
                <w:rFonts w:ascii="Arial" w:hAnsi="Arial" w:cs="Arial"/>
                <w:color w:val="000000" w:themeColor="text1"/>
                <w:sz w:val="20"/>
                <w:szCs w:val="20"/>
                <w:lang w:val="en-US"/>
              </w:rPr>
              <w:t xml:space="preserve">Risk </w:t>
            </w:r>
            <w:r w:rsidR="00B13CFC" w:rsidRPr="006E32C1">
              <w:rPr>
                <w:rFonts w:ascii="Arial" w:hAnsi="Arial" w:cs="Arial"/>
                <w:color w:val="000000" w:themeColor="text1"/>
                <w:sz w:val="20"/>
                <w:szCs w:val="20"/>
                <w:lang w:val="en-US"/>
              </w:rPr>
              <w:t>M</w:t>
            </w:r>
            <w:r w:rsidRPr="006E32C1">
              <w:rPr>
                <w:rFonts w:ascii="Arial" w:hAnsi="Arial" w:cs="Arial"/>
                <w:color w:val="000000" w:themeColor="text1"/>
                <w:sz w:val="20"/>
                <w:szCs w:val="20"/>
                <w:lang w:val="en-US"/>
              </w:rPr>
              <w:t xml:space="preserve">anagement </w:t>
            </w:r>
            <w:r w:rsidR="00B13CFC" w:rsidRPr="006E32C1">
              <w:rPr>
                <w:rFonts w:ascii="Arial" w:hAnsi="Arial" w:cs="Arial"/>
                <w:color w:val="000000" w:themeColor="text1"/>
                <w:sz w:val="20"/>
                <w:szCs w:val="20"/>
                <w:lang w:val="en-US"/>
              </w:rPr>
              <w:t>G</w:t>
            </w:r>
            <w:r w:rsidRPr="006E32C1">
              <w:rPr>
                <w:rFonts w:ascii="Arial" w:hAnsi="Arial" w:cs="Arial"/>
                <w:color w:val="000000" w:themeColor="text1"/>
                <w:sz w:val="20"/>
                <w:szCs w:val="20"/>
                <w:lang w:val="en-US"/>
              </w:rPr>
              <w:t>uidelines 2010</w:t>
            </w:r>
          </w:p>
        </w:tc>
        <w:tc>
          <w:tcPr>
            <w:tcW w:w="1883" w:type="dxa"/>
          </w:tcPr>
          <w:p w14:paraId="6F9C90B9" w14:textId="47DAA296" w:rsidR="00D340B6" w:rsidRPr="006E32C1" w:rsidRDefault="00D340B6" w:rsidP="00D340B6">
            <w:pPr>
              <w:rPr>
                <w:rFonts w:ascii="Arial" w:hAnsi="Arial" w:cs="Arial"/>
                <w:color w:val="000000" w:themeColor="text1"/>
                <w:sz w:val="20"/>
                <w:szCs w:val="20"/>
                <w:lang w:val="en-US"/>
              </w:rPr>
            </w:pPr>
            <w:r w:rsidRPr="006E32C1">
              <w:rPr>
                <w:rFonts w:ascii="Arial" w:hAnsi="Arial" w:cs="Arial"/>
                <w:color w:val="000000" w:themeColor="text1"/>
                <w:sz w:val="20"/>
                <w:szCs w:val="20"/>
                <w:lang w:val="en-US"/>
              </w:rPr>
              <w:t>Bank of Uganda (BoU)</w:t>
            </w:r>
          </w:p>
        </w:tc>
      </w:tr>
    </w:tbl>
    <w:p w14:paraId="26A7B0E5" w14:textId="2C901C74" w:rsidR="009C019F" w:rsidRPr="006E32C1" w:rsidRDefault="009C019F" w:rsidP="00B52C67">
      <w:pPr>
        <w:pStyle w:val="Heading1"/>
        <w:spacing w:after="240"/>
        <w:rPr>
          <w:rFonts w:ascii="Arial" w:hAnsi="Arial" w:cs="Arial"/>
          <w:b/>
          <w:bCs/>
          <w:sz w:val="24"/>
          <w:szCs w:val="24"/>
          <w:lang w:val="en-US"/>
        </w:rPr>
      </w:pPr>
    </w:p>
    <w:sectPr w:rsidR="009C019F" w:rsidRPr="006E32C1" w:rsidSect="008E2CB5">
      <w:headerReference w:type="default" r:id="rId27"/>
      <w:footerReference w:type="default" r:id="rId28"/>
      <w:headerReference w:type="first" r:id="rId29"/>
      <w:footerReference w:type="first" r:id="rId30"/>
      <w:pgSz w:w="11906" w:h="16838"/>
      <w:pgMar w:top="1440" w:right="926"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Leoniuk, Tomasz [ICRM]" w:date="2024-09-20T14:06:00Z" w:initials="LT[">
    <w:p w14:paraId="006C804E" w14:textId="77777777" w:rsidR="00E70C1F" w:rsidRDefault="00E70C1F" w:rsidP="00E70C1F">
      <w:pPr>
        <w:pStyle w:val="CommentText"/>
        <w:jc w:val="left"/>
      </w:pPr>
      <w:r>
        <w:rPr>
          <w:rStyle w:val="CommentReference"/>
        </w:rPr>
        <w:annotationRef/>
      </w:r>
      <w:r>
        <w:rPr>
          <w:lang w:val="en-US"/>
        </w:rPr>
        <w:t>Please remove empty sections.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6C80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7FFE2" w16cex:dateUtc="2024-09-20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6C804E" w16cid:durableId="2A97F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4B5B" w14:textId="77777777" w:rsidR="00D52D9D" w:rsidRDefault="00D52D9D" w:rsidP="00DE77D1">
      <w:pPr>
        <w:spacing w:before="0" w:after="0"/>
      </w:pPr>
      <w:r>
        <w:separator/>
      </w:r>
    </w:p>
  </w:endnote>
  <w:endnote w:type="continuationSeparator" w:id="0">
    <w:p w14:paraId="440A3502" w14:textId="77777777" w:rsidR="00D52D9D" w:rsidRDefault="00D52D9D" w:rsidP="00DE77D1">
      <w:pPr>
        <w:spacing w:before="0" w:after="0"/>
      </w:pPr>
      <w:r>
        <w:continuationSeparator/>
      </w:r>
    </w:p>
  </w:endnote>
  <w:endnote w:type="continuationNotice" w:id="1">
    <w:p w14:paraId="656F6341" w14:textId="77777777" w:rsidR="00D52D9D" w:rsidRDefault="00D52D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82240580"/>
      <w:docPartObj>
        <w:docPartGallery w:val="Page Numbers (Bottom of Page)"/>
        <w:docPartUnique/>
      </w:docPartObj>
    </w:sdtPr>
    <w:sdtEndPr>
      <w:rPr>
        <w:noProof/>
      </w:rPr>
    </w:sdtEndPr>
    <w:sdtContent>
      <w:p w14:paraId="70DBA245" w14:textId="77777777" w:rsidR="003B344B" w:rsidRPr="00FF60B2" w:rsidRDefault="003B344B">
        <w:pPr>
          <w:pStyle w:val="Footer"/>
          <w:jc w:val="right"/>
          <w:rPr>
            <w:sz w:val="18"/>
            <w:szCs w:val="18"/>
          </w:rPr>
        </w:pPr>
        <w:r w:rsidRPr="00FF60B2">
          <w:rPr>
            <w:sz w:val="18"/>
            <w:szCs w:val="18"/>
          </w:rPr>
          <w:fldChar w:fldCharType="begin"/>
        </w:r>
        <w:r w:rsidRPr="00FF60B2">
          <w:rPr>
            <w:sz w:val="18"/>
            <w:szCs w:val="18"/>
          </w:rPr>
          <w:instrText xml:space="preserve"> PAGE   \* MERGEFORMAT </w:instrText>
        </w:r>
        <w:r w:rsidRPr="00FF60B2">
          <w:rPr>
            <w:sz w:val="18"/>
            <w:szCs w:val="18"/>
          </w:rPr>
          <w:fldChar w:fldCharType="separate"/>
        </w:r>
        <w:r w:rsidRPr="00FF60B2">
          <w:rPr>
            <w:noProof/>
            <w:sz w:val="18"/>
            <w:szCs w:val="18"/>
          </w:rPr>
          <w:t>2</w:t>
        </w:r>
        <w:r w:rsidRPr="00FF60B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D142" w14:textId="32F02310" w:rsidR="00A077A1" w:rsidRDefault="00A077A1">
    <w:pPr>
      <w:pStyle w:val="Footer"/>
    </w:pPr>
    <w:r>
      <w:t>[</w:t>
    </w:r>
    <w:r w:rsidR="009B4CC4">
      <w:t>[Legal Entity Name]</w:t>
    </w:r>
    <w:r>
      <w:t>.</w:t>
    </w:r>
    <w:r w:rsidR="00244365">
      <w:t>23</w:t>
    </w:r>
    <w:r>
      <w:t>0522.</w:t>
    </w:r>
    <w:r w:rsidR="00244365">
      <w:t>2</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CB29A" w14:textId="77777777" w:rsidR="00D52D9D" w:rsidRDefault="00D52D9D" w:rsidP="00DE77D1">
      <w:pPr>
        <w:spacing w:before="0" w:after="0"/>
      </w:pPr>
      <w:r>
        <w:separator/>
      </w:r>
    </w:p>
  </w:footnote>
  <w:footnote w:type="continuationSeparator" w:id="0">
    <w:p w14:paraId="60099DFF" w14:textId="77777777" w:rsidR="00D52D9D" w:rsidRDefault="00D52D9D" w:rsidP="00DE77D1">
      <w:pPr>
        <w:spacing w:before="0" w:after="0"/>
      </w:pPr>
      <w:r>
        <w:continuationSeparator/>
      </w:r>
    </w:p>
  </w:footnote>
  <w:footnote w:type="continuationNotice" w:id="1">
    <w:p w14:paraId="38F65BA7" w14:textId="77777777" w:rsidR="00D52D9D" w:rsidRDefault="00D52D9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9E1D" w14:textId="38D52055" w:rsidR="009A6B19" w:rsidRPr="00703D77" w:rsidRDefault="009A6B19" w:rsidP="00703D77">
    <w:pPr>
      <w:pStyle w:val="Header"/>
      <w:jc w:val="left"/>
      <w:rPr>
        <w:rFonts w:ascii="Arial" w:hAnsi="Arial" w:cs="Arial"/>
        <w:b/>
        <w:bCs/>
        <w:color w:val="767171" w:themeColor="background2" w:themeShade="80"/>
        <w:sz w:val="18"/>
        <w:szCs w:val="18"/>
      </w:rPr>
    </w:pPr>
    <w:r w:rsidRPr="0038030D">
      <w:rPr>
        <w:rFonts w:asciiTheme="minorHAnsi" w:hAnsiTheme="minorHAnsi" w:cstheme="minorHAnsi"/>
        <w:noProof/>
        <w:color w:val="767171" w:themeColor="background2" w:themeShade="80"/>
        <w:sz w:val="20"/>
        <w:szCs w:val="20"/>
      </w:rPr>
      <w:drawing>
        <wp:anchor distT="0" distB="0" distL="114300" distR="114300" simplePos="0" relativeHeight="251658240" behindDoc="0" locked="0" layoutInCell="1" allowOverlap="1" wp14:anchorId="24A3D454" wp14:editId="3C1563A5">
          <wp:simplePos x="0" y="0"/>
          <wp:positionH relativeFrom="margin">
            <wp:posOffset>4445</wp:posOffset>
          </wp:positionH>
          <wp:positionV relativeFrom="margin">
            <wp:posOffset>-424180</wp:posOffset>
          </wp:positionV>
          <wp:extent cx="444500" cy="24130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54DB" w14:textId="1D49E234" w:rsidR="009A6B19" w:rsidRPr="0017607D" w:rsidRDefault="009A6B19" w:rsidP="00DE77D1">
    <w:pPr>
      <w:pStyle w:val="Header"/>
      <w:ind w:left="-993"/>
      <w:rPr>
        <w:color w:val="FF0000"/>
        <w:sz w:val="28"/>
        <w:szCs w:val="28"/>
      </w:rPr>
    </w:pPr>
    <w:r>
      <w:rPr>
        <w:noProof/>
        <w:color w:val="53565A"/>
        <w:sz w:val="20"/>
      </w:rPr>
      <w:drawing>
        <wp:inline distT="0" distB="0" distL="0" distR="0" wp14:anchorId="1B9C9593" wp14:editId="6122D9B4">
          <wp:extent cx="4762123" cy="434567"/>
          <wp:effectExtent l="0" t="0" r="635" b="3810"/>
          <wp:docPr id="19" name="Picture 19"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1387" cy="438150"/>
                  </a:xfrm>
                  <a:prstGeom prst="rect">
                    <a:avLst/>
                  </a:prstGeom>
                  <a:noFill/>
                  <a:ln>
                    <a:noFill/>
                  </a:ln>
                </pic:spPr>
              </pic:pic>
            </a:graphicData>
          </a:graphic>
        </wp:inline>
      </w:drawing>
    </w:r>
    <w:r>
      <w:tab/>
    </w:r>
    <w:r>
      <w:rPr>
        <w:noProof/>
        <w:color w:val="53565A"/>
        <w:sz w:val="20"/>
      </w:rPr>
      <w:drawing>
        <wp:inline distT="0" distB="0" distL="0" distR="0" wp14:anchorId="1106BC2A" wp14:editId="4A6D4EB4">
          <wp:extent cx="762000" cy="438150"/>
          <wp:effectExtent l="0" t="0" r="0" b="0"/>
          <wp:docPr id="20" name="Picture 20" descr="Citi_new_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ti_new_blue_logo"/>
                  <pic:cNvPicPr>
                    <a:picLocks noChangeAspect="1" noChangeArrowheads="1"/>
                  </pic:cNvPicPr>
                </pic:nvPicPr>
                <pic:blipFill>
                  <a:blip r:embed="rId2">
                    <a:extLst>
                      <a:ext uri="{28A0092B-C50C-407E-A947-70E740481C1C}">
                        <a14:useLocalDpi xmlns:a14="http://schemas.microsoft.com/office/drawing/2010/main" val="0"/>
                      </a:ext>
                    </a:extLst>
                  </a:blip>
                  <a:srcRect l="-911" r="-1366" b="-3976"/>
                  <a:stretch>
                    <a:fillRect/>
                  </a:stretch>
                </pic:blipFill>
                <pic:spPr bwMode="auto">
                  <a:xfrm>
                    <a:off x="0" y="0"/>
                    <a:ext cx="762000" cy="438150"/>
                  </a:xfrm>
                  <a:prstGeom prst="rect">
                    <a:avLst/>
                  </a:prstGeom>
                  <a:noFill/>
                  <a:ln>
                    <a:noFill/>
                  </a:ln>
                </pic:spPr>
              </pic:pic>
            </a:graphicData>
          </a:graphic>
        </wp:inline>
      </w:drawing>
    </w:r>
    <w:r w:rsidR="00B90267">
      <w:t xml:space="preserve"> </w:t>
    </w:r>
  </w:p>
  <w:p w14:paraId="099235FF" w14:textId="77777777" w:rsidR="009A6B19" w:rsidRDefault="009A6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336"/>
    <w:multiLevelType w:val="hybridMultilevel"/>
    <w:tmpl w:val="3C6AFD88"/>
    <w:lvl w:ilvl="0" w:tplc="033C9762">
      <w:start w:val="5"/>
      <w:numFmt w:val="decimal"/>
      <w:lvlText w:val="2.7.%1"/>
      <w:lvlJc w:val="right"/>
      <w:pPr>
        <w:ind w:left="2880" w:hanging="360"/>
      </w:pPr>
      <w:rPr>
        <w:rFonts w:ascii="Arial" w:hAnsi="Arial" w:cs="Arial"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8186C"/>
    <w:multiLevelType w:val="hybridMultilevel"/>
    <w:tmpl w:val="69DA6104"/>
    <w:lvl w:ilvl="0" w:tplc="3CD2A23C">
      <w:start w:val="1"/>
      <w:numFmt w:val="decimal"/>
      <w:lvlText w:val="2.6.4.%1"/>
      <w:lvlJc w:val="left"/>
      <w:pPr>
        <w:ind w:left="2880" w:hanging="360"/>
      </w:pPr>
      <w:rPr>
        <w:rFonts w:ascii="Arial" w:hAnsi="Arial" w:cs="Arial" w:hint="default"/>
        <w:b w:val="0"/>
        <w:bCs w:val="0"/>
        <w:i w:val="0"/>
        <w:iCs w:val="0"/>
        <w:color w:val="0070C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12033"/>
    <w:multiLevelType w:val="hybridMultilevel"/>
    <w:tmpl w:val="04081D12"/>
    <w:lvl w:ilvl="0" w:tplc="E5B037F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4455B"/>
    <w:multiLevelType w:val="hybridMultilevel"/>
    <w:tmpl w:val="2A6E4AB0"/>
    <w:lvl w:ilvl="0" w:tplc="D0A005F6">
      <w:start w:val="1"/>
      <w:numFmt w:val="decimal"/>
      <w:lvlText w:val="2.7.%1"/>
      <w:lvlJc w:val="right"/>
      <w:pPr>
        <w:ind w:left="360" w:hanging="360"/>
      </w:pPr>
      <w:rPr>
        <w:rFonts w:ascii="Arial" w:hAnsi="Arial" w:cs="Arial"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711F0"/>
    <w:multiLevelType w:val="multilevel"/>
    <w:tmpl w:val="6302CA7C"/>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2.6.%3"/>
      <w:lvlJc w:val="left"/>
      <w:pPr>
        <w:ind w:left="720" w:hanging="360"/>
      </w:pPr>
      <w:rPr>
        <w:rFonts w:ascii="Arial" w:hAnsi="Arial" w:cs="Arial" w:hint="default"/>
        <w:b w:val="0"/>
        <w:i w:val="0"/>
        <w:iCs w:val="0"/>
        <w:color w:val="auto"/>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8F06BE8"/>
    <w:multiLevelType w:val="hybridMultilevel"/>
    <w:tmpl w:val="C714F2E4"/>
    <w:lvl w:ilvl="0" w:tplc="C7A6D004">
      <w:start w:val="1"/>
      <w:numFmt w:val="decimal"/>
      <w:lvlText w:val="2.6.1.%1"/>
      <w:lvlJc w:val="left"/>
      <w:pPr>
        <w:ind w:left="2880" w:hanging="360"/>
      </w:pPr>
      <w:rPr>
        <w:rFonts w:ascii="Arial" w:hAnsi="Arial" w:cs="Arial" w:hint="default"/>
        <w:i w:val="0"/>
        <w:iCs w:val="0"/>
        <w:color w:val="0070C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5F432E"/>
    <w:multiLevelType w:val="hybridMultilevel"/>
    <w:tmpl w:val="DC02E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7300D7"/>
    <w:multiLevelType w:val="hybridMultilevel"/>
    <w:tmpl w:val="E26C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E4790"/>
    <w:multiLevelType w:val="hybridMultilevel"/>
    <w:tmpl w:val="5B4A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3240D"/>
    <w:multiLevelType w:val="hybridMultilevel"/>
    <w:tmpl w:val="2632CA92"/>
    <w:lvl w:ilvl="0" w:tplc="D2F80A82">
      <w:start w:val="1"/>
      <w:numFmt w:val="decimal"/>
      <w:lvlText w:val="2.6.3.%1"/>
      <w:lvlJc w:val="left"/>
      <w:pPr>
        <w:ind w:left="2880" w:hanging="360"/>
      </w:pPr>
      <w:rPr>
        <w:rFonts w:ascii="Arial" w:hAnsi="Arial" w:cs="Arial" w:hint="default"/>
        <w:b w:val="0"/>
        <w:bCs w:val="0"/>
        <w:i w:val="0"/>
        <w:iCs w:val="0"/>
        <w:color w:val="0070C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B40E90"/>
    <w:multiLevelType w:val="multilevel"/>
    <w:tmpl w:val="0AB4EC88"/>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2.4.%3"/>
      <w:lvlJc w:val="right"/>
      <w:pPr>
        <w:ind w:left="540" w:hanging="18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90728FB"/>
    <w:multiLevelType w:val="hybridMultilevel"/>
    <w:tmpl w:val="B580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672C8"/>
    <w:multiLevelType w:val="hybridMultilevel"/>
    <w:tmpl w:val="79B4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51B45"/>
    <w:multiLevelType w:val="hybridMultilevel"/>
    <w:tmpl w:val="75164C90"/>
    <w:lvl w:ilvl="0" w:tplc="C992A22E">
      <w:start w:val="1"/>
      <w:numFmt w:val="decimal"/>
      <w:lvlText w:val="2.4.1.%1"/>
      <w:lvlJc w:val="left"/>
      <w:pPr>
        <w:ind w:left="2880" w:hanging="360"/>
      </w:pPr>
      <w:rPr>
        <w:rFonts w:ascii="Arial" w:hAnsi="Arial" w:cs="Arial" w:hint="default"/>
        <w:i w:val="0"/>
        <w:iCs w:val="0"/>
        <w:color w:val="2F5496" w:themeColor="accent1"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7714C"/>
    <w:multiLevelType w:val="multilevel"/>
    <w:tmpl w:val="0C380E0E"/>
    <w:lvl w:ilvl="0">
      <w:start w:val="1"/>
      <w:numFmt w:val="lowerRoman"/>
      <w:lvlText w:val="%1."/>
      <w:lvlJc w:val="right"/>
      <w:pPr>
        <w:ind w:left="720" w:hanging="72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5" w15:restartNumberingAfterBreak="0">
    <w:nsid w:val="2DED2311"/>
    <w:multiLevelType w:val="multilevel"/>
    <w:tmpl w:val="D2C8CD24"/>
    <w:lvl w:ilvl="0">
      <w:start w:val="2"/>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13DA2"/>
    <w:multiLevelType w:val="hybridMultilevel"/>
    <w:tmpl w:val="5EF8E2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3573B"/>
    <w:multiLevelType w:val="hybridMultilevel"/>
    <w:tmpl w:val="8E303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F603DE"/>
    <w:multiLevelType w:val="multilevel"/>
    <w:tmpl w:val="A76E9A28"/>
    <w:lvl w:ilvl="0">
      <w:start w:val="2"/>
      <w:numFmt w:val="decimal"/>
      <w:lvlText w:val="%1"/>
      <w:lvlJc w:val="left"/>
      <w:pPr>
        <w:ind w:left="530" w:hanging="530"/>
      </w:pPr>
      <w:rPr>
        <w:rFonts w:hint="default"/>
        <w:color w:val="2F5496" w:themeColor="accent1" w:themeShade="BF"/>
      </w:rPr>
    </w:lvl>
    <w:lvl w:ilvl="1">
      <w:start w:val="2"/>
      <w:numFmt w:val="decimal"/>
      <w:lvlText w:val="%1.%2"/>
      <w:lvlJc w:val="left"/>
      <w:pPr>
        <w:ind w:left="530" w:hanging="530"/>
      </w:pPr>
      <w:rPr>
        <w:rFonts w:hint="default"/>
        <w:color w:val="2F5496" w:themeColor="accent1" w:themeShade="BF"/>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2F5496" w:themeColor="accent1" w:themeShade="BF"/>
      </w:rPr>
    </w:lvl>
    <w:lvl w:ilvl="4">
      <w:start w:val="1"/>
      <w:numFmt w:val="decimal"/>
      <w:lvlText w:val="%1.%2.%3.%4.%5"/>
      <w:lvlJc w:val="left"/>
      <w:pPr>
        <w:ind w:left="1080" w:hanging="1080"/>
      </w:pPr>
      <w:rPr>
        <w:rFonts w:hint="default"/>
        <w:color w:val="2F5496" w:themeColor="accent1" w:themeShade="BF"/>
      </w:rPr>
    </w:lvl>
    <w:lvl w:ilvl="5">
      <w:start w:val="1"/>
      <w:numFmt w:val="decimal"/>
      <w:lvlText w:val="%1.%2.%3.%4.%5.%6"/>
      <w:lvlJc w:val="left"/>
      <w:pPr>
        <w:ind w:left="1440" w:hanging="1440"/>
      </w:pPr>
      <w:rPr>
        <w:rFonts w:hint="default"/>
        <w:color w:val="2F5496" w:themeColor="accent1" w:themeShade="BF"/>
      </w:rPr>
    </w:lvl>
    <w:lvl w:ilvl="6">
      <w:start w:val="1"/>
      <w:numFmt w:val="decimal"/>
      <w:lvlText w:val="%1.%2.%3.%4.%5.%6.%7"/>
      <w:lvlJc w:val="left"/>
      <w:pPr>
        <w:ind w:left="1440" w:hanging="1440"/>
      </w:pPr>
      <w:rPr>
        <w:rFonts w:hint="default"/>
        <w:color w:val="2F5496" w:themeColor="accent1" w:themeShade="BF"/>
      </w:rPr>
    </w:lvl>
    <w:lvl w:ilvl="7">
      <w:start w:val="1"/>
      <w:numFmt w:val="decimal"/>
      <w:lvlText w:val="%1.%2.%3.%4.%5.%6.%7.%8"/>
      <w:lvlJc w:val="left"/>
      <w:pPr>
        <w:ind w:left="1800" w:hanging="1800"/>
      </w:pPr>
      <w:rPr>
        <w:rFonts w:hint="default"/>
        <w:color w:val="2F5496" w:themeColor="accent1" w:themeShade="BF"/>
      </w:rPr>
    </w:lvl>
    <w:lvl w:ilvl="8">
      <w:start w:val="1"/>
      <w:numFmt w:val="decimal"/>
      <w:lvlText w:val="%1.%2.%3.%4.%5.%6.%7.%8.%9"/>
      <w:lvlJc w:val="left"/>
      <w:pPr>
        <w:ind w:left="1800" w:hanging="1800"/>
      </w:pPr>
      <w:rPr>
        <w:rFonts w:hint="default"/>
        <w:color w:val="2F5496" w:themeColor="accent1" w:themeShade="BF"/>
      </w:rPr>
    </w:lvl>
  </w:abstractNum>
  <w:abstractNum w:abstractNumId="19" w15:restartNumberingAfterBreak="0">
    <w:nsid w:val="35AA69C7"/>
    <w:multiLevelType w:val="hybridMultilevel"/>
    <w:tmpl w:val="812ABAAA"/>
    <w:lvl w:ilvl="0" w:tplc="639265D8">
      <w:start w:val="1"/>
      <w:numFmt w:val="decimal"/>
      <w:lvlText w:val="2.6.8.%1"/>
      <w:lvlJc w:val="left"/>
      <w:pPr>
        <w:ind w:left="2880" w:hanging="360"/>
      </w:pPr>
      <w:rPr>
        <w:rFonts w:ascii="Arial" w:hAnsi="Arial" w:cs="Arial" w:hint="default"/>
        <w:b/>
        <w:bCs/>
        <w:i w:val="0"/>
        <w:i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88ACA87E">
      <w:start w:val="1"/>
      <w:numFmt w:val="decimal"/>
      <w:lvlText w:val="2.6.8.%5"/>
      <w:lvlJc w:val="left"/>
      <w:pPr>
        <w:ind w:left="3600" w:hanging="360"/>
      </w:pPr>
      <w:rPr>
        <w:rFonts w:ascii="Arial" w:hAnsi="Arial" w:cs="Arial" w:hint="default"/>
        <w:b w:val="0"/>
        <w:bCs w:val="0"/>
        <w:i w:val="0"/>
        <w:iCs w:val="0"/>
        <w:color w:val="0070C0"/>
        <w:sz w:val="24"/>
        <w:szCs w:val="24"/>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CB7DC3"/>
    <w:multiLevelType w:val="hybridMultilevel"/>
    <w:tmpl w:val="10F4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D7085"/>
    <w:multiLevelType w:val="hybridMultilevel"/>
    <w:tmpl w:val="C718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86CCD"/>
    <w:multiLevelType w:val="hybridMultilevel"/>
    <w:tmpl w:val="A3AC975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F0D29EF"/>
    <w:multiLevelType w:val="hybridMultilevel"/>
    <w:tmpl w:val="11E02E68"/>
    <w:lvl w:ilvl="0" w:tplc="A808BDAC">
      <w:start w:val="1"/>
      <w:numFmt w:val="bullet"/>
      <w:pStyle w:val="Bullet"/>
      <w:lvlText w:val=""/>
      <w:lvlJc w:val="left"/>
      <w:pPr>
        <w:ind w:left="1530" w:hanging="360"/>
      </w:pPr>
      <w:rPr>
        <w:rFonts w:ascii="Symbol" w:hAnsi="Symbol" w:hint="default"/>
        <w:b w:val="0"/>
        <w:bCs w:val="0"/>
        <w:i w:val="0"/>
        <w:iCs w:val="0"/>
        <w:color w:val="auto"/>
        <w:w w:val="100"/>
        <w:sz w:val="22"/>
        <w:szCs w:val="22"/>
        <w:lang w:val="en-US" w:eastAsia="en-US" w:bidi="ar-SA"/>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446237B8"/>
    <w:multiLevelType w:val="multilevel"/>
    <w:tmpl w:val="4EC658FA"/>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ascii="Arial" w:hAnsi="Arial" w:cs="Arial" w:hint="default"/>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0AA6259"/>
    <w:multiLevelType w:val="hybridMultilevel"/>
    <w:tmpl w:val="9FD893D8"/>
    <w:lvl w:ilvl="0" w:tplc="2D3EF1E8">
      <w:start w:val="1"/>
      <w:numFmt w:val="decimal"/>
      <w:lvlText w:val="2.6.5.%1"/>
      <w:lvlJc w:val="left"/>
      <w:pPr>
        <w:ind w:left="2880" w:hanging="360"/>
      </w:pPr>
      <w:rPr>
        <w:rFonts w:ascii="Arial" w:hAnsi="Arial" w:cs="Arial" w:hint="default"/>
        <w:b w:val="0"/>
        <w:bCs w:val="0"/>
        <w:i w:val="0"/>
        <w:iCs w:val="0"/>
        <w:color w:val="0070C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7942B7"/>
    <w:multiLevelType w:val="hybridMultilevel"/>
    <w:tmpl w:val="725E233C"/>
    <w:lvl w:ilvl="0" w:tplc="12DE0AD0">
      <w:start w:val="3"/>
      <w:numFmt w:val="decimal"/>
      <w:lvlText w:val="2.7.%1"/>
      <w:lvlJc w:val="right"/>
      <w:pPr>
        <w:ind w:left="2880" w:hanging="360"/>
      </w:pPr>
      <w:rPr>
        <w:rFonts w:ascii="Arial" w:hAnsi="Arial" w:cs="Arial"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C0A8C"/>
    <w:multiLevelType w:val="hybridMultilevel"/>
    <w:tmpl w:val="18B07CBE"/>
    <w:lvl w:ilvl="0" w:tplc="10A26EA6">
      <w:start w:val="1"/>
      <w:numFmt w:val="decimal"/>
      <w:lvlText w:val="2.6.6.%1"/>
      <w:lvlJc w:val="left"/>
      <w:pPr>
        <w:ind w:left="2880" w:hanging="360"/>
      </w:pPr>
      <w:rPr>
        <w:rFonts w:ascii="Arial" w:hAnsi="Arial" w:cs="Arial" w:hint="default"/>
        <w:b w:val="0"/>
        <w:bCs w:val="0"/>
        <w:i w:val="0"/>
        <w:iCs w:val="0"/>
        <w:color w:val="0070C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7F4780"/>
    <w:multiLevelType w:val="multilevel"/>
    <w:tmpl w:val="C0504656"/>
    <w:lvl w:ilvl="0">
      <w:start w:val="1"/>
      <w:numFmt w:val="decimal"/>
      <w:lvlText w:val="%1."/>
      <w:lvlJc w:val="left"/>
      <w:pPr>
        <w:ind w:left="720" w:hanging="360"/>
      </w:pPr>
      <w:rPr>
        <w:rFonts w:hint="default"/>
        <w:sz w:val="28"/>
        <w:szCs w:val="28"/>
      </w:rPr>
    </w:lvl>
    <w:lvl w:ilvl="1">
      <w:start w:val="1"/>
      <w:numFmt w:val="decimal"/>
      <w:isLgl/>
      <w:lvlText w:val="%1.%2"/>
      <w:lvlJc w:val="left"/>
      <w:pPr>
        <w:ind w:left="750" w:hanging="390"/>
      </w:pPr>
      <w:rPr>
        <w:rFonts w:hint="default"/>
        <w:sz w:val="24"/>
        <w:szCs w:val="24"/>
      </w:rPr>
    </w:lvl>
    <w:lvl w:ilvl="2">
      <w:start w:val="1"/>
      <w:numFmt w:val="decimal"/>
      <w:isLgl/>
      <w:lvlText w:val="%1.%2.%3"/>
      <w:lvlJc w:val="left"/>
      <w:pPr>
        <w:ind w:left="810" w:hanging="720"/>
      </w:pPr>
      <w:rPr>
        <w:rFonts w:hint="default"/>
        <w:color w:val="auto"/>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4E63F90"/>
    <w:multiLevelType w:val="hybridMultilevel"/>
    <w:tmpl w:val="72C2F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464D52"/>
    <w:multiLevelType w:val="hybridMultilevel"/>
    <w:tmpl w:val="1FDCB2C6"/>
    <w:lvl w:ilvl="0" w:tplc="E5B037F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45718D"/>
    <w:multiLevelType w:val="hybridMultilevel"/>
    <w:tmpl w:val="DF068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2F526E"/>
    <w:multiLevelType w:val="hybridMultilevel"/>
    <w:tmpl w:val="7DE2E390"/>
    <w:lvl w:ilvl="0" w:tplc="C9FC6BF6">
      <w:start w:val="1"/>
      <w:numFmt w:val="decimal"/>
      <w:lvlText w:val="2.%1"/>
      <w:lvlJc w:val="left"/>
      <w:pPr>
        <w:ind w:left="360" w:hanging="360"/>
      </w:pPr>
      <w:rPr>
        <w:rFonts w:hint="default"/>
        <w:b/>
        <w:bCs/>
        <w:color w:val="auto"/>
        <w:sz w:val="24"/>
        <w:szCs w:val="24"/>
      </w:rPr>
    </w:lvl>
    <w:lvl w:ilvl="1" w:tplc="E4CAD332">
      <w:start w:val="1"/>
      <w:numFmt w:val="decimal"/>
      <w:lvlText w:val="2.%2"/>
      <w:lvlJc w:val="left"/>
      <w:pPr>
        <w:ind w:left="1080" w:hanging="360"/>
      </w:pPr>
      <w:rPr>
        <w:rFonts w:hint="default"/>
      </w:rPr>
    </w:lvl>
    <w:lvl w:ilvl="2" w:tplc="A24E3228">
      <w:start w:val="1"/>
      <w:numFmt w:val="decimal"/>
      <w:lvlText w:val="2.7.%3"/>
      <w:lvlJc w:val="right"/>
      <w:pPr>
        <w:ind w:left="1800" w:hanging="180"/>
      </w:pPr>
      <w:rPr>
        <w:rFonts w:hint="default"/>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691598"/>
    <w:multiLevelType w:val="hybridMultilevel"/>
    <w:tmpl w:val="CFCA287A"/>
    <w:lvl w:ilvl="0" w:tplc="2C8EA6CE">
      <w:start w:val="1"/>
      <w:numFmt w:val="decimal"/>
      <w:lvlText w:val="2.6.7.%1"/>
      <w:lvlJc w:val="left"/>
      <w:pPr>
        <w:ind w:left="2880" w:hanging="360"/>
      </w:pPr>
      <w:rPr>
        <w:rFonts w:ascii="Arial" w:hAnsi="Arial" w:cs="Arial" w:hint="default"/>
        <w:b w:val="0"/>
        <w:bCs w:val="0"/>
        <w:i w:val="0"/>
        <w:iCs w:val="0"/>
        <w:color w:val="0070C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7C0401"/>
    <w:multiLevelType w:val="multilevel"/>
    <w:tmpl w:val="73087496"/>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2.4.%3"/>
      <w:lvlJc w:val="right"/>
      <w:pPr>
        <w:ind w:left="540" w:hanging="18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5F6C7F86"/>
    <w:multiLevelType w:val="hybridMultilevel"/>
    <w:tmpl w:val="2E3C0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6D7B0A"/>
    <w:multiLevelType w:val="hybridMultilevel"/>
    <w:tmpl w:val="60449BFA"/>
    <w:lvl w:ilvl="0" w:tplc="300EF036">
      <w:start w:val="1"/>
      <w:numFmt w:val="decimal"/>
      <w:lvlText w:val="2.6.2.%1"/>
      <w:lvlJc w:val="left"/>
      <w:pPr>
        <w:ind w:left="2880" w:hanging="360"/>
      </w:pPr>
      <w:rPr>
        <w:rFonts w:ascii="Arial" w:hAnsi="Arial" w:cs="Arial" w:hint="default"/>
        <w:b w:val="0"/>
        <w:bCs w:val="0"/>
        <w:i w:val="0"/>
        <w:iCs w:val="0"/>
        <w:color w:val="0070C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7C2C76"/>
    <w:multiLevelType w:val="hybridMultilevel"/>
    <w:tmpl w:val="B71C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43675"/>
    <w:multiLevelType w:val="hybridMultilevel"/>
    <w:tmpl w:val="9A7C020C"/>
    <w:lvl w:ilvl="0" w:tplc="E4CAD33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8E8E8EA">
      <w:start w:val="1"/>
      <w:numFmt w:val="decimal"/>
      <w:lvlText w:val="2.3.3.%4"/>
      <w:lvlJc w:val="left"/>
      <w:pPr>
        <w:ind w:left="1637" w:hanging="360"/>
      </w:pPr>
      <w:rPr>
        <w:rFonts w:ascii="Arial" w:hAnsi="Arial" w:cs="Arial" w:hint="default"/>
        <w:i w:val="0"/>
        <w:iCs w:val="0"/>
        <w:color w:val="auto"/>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77B8D"/>
    <w:multiLevelType w:val="hybridMultilevel"/>
    <w:tmpl w:val="2A44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76A7F"/>
    <w:multiLevelType w:val="multilevel"/>
    <w:tmpl w:val="5B24FBEC"/>
    <w:lvl w:ilvl="0">
      <w:start w:val="1"/>
      <w:numFmt w:val="lowerLetter"/>
      <w:suff w:val="space"/>
      <w:lvlText w:val="%1."/>
      <w:lvlJc w:val="left"/>
      <w:pPr>
        <w:ind w:left="720" w:hanging="72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41" w15:restartNumberingAfterBreak="0">
    <w:nsid w:val="74D84CFE"/>
    <w:multiLevelType w:val="hybridMultilevel"/>
    <w:tmpl w:val="C45821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B6C3E3D"/>
    <w:multiLevelType w:val="multilevel"/>
    <w:tmpl w:val="EC08ADB6"/>
    <w:lvl w:ilvl="0">
      <w:start w:val="2"/>
      <w:numFmt w:val="decimal"/>
      <w:lvlText w:val="%1"/>
      <w:lvlJc w:val="left"/>
      <w:pPr>
        <w:ind w:left="530" w:hanging="530"/>
      </w:pPr>
      <w:rPr>
        <w:rFonts w:hint="default"/>
        <w:color w:val="2F5496" w:themeColor="accent1" w:themeShade="BF"/>
      </w:rPr>
    </w:lvl>
    <w:lvl w:ilvl="1">
      <w:start w:val="8"/>
      <w:numFmt w:val="decimal"/>
      <w:lvlText w:val="%1.%2"/>
      <w:lvlJc w:val="left"/>
      <w:pPr>
        <w:ind w:left="530" w:hanging="530"/>
      </w:pPr>
      <w:rPr>
        <w:rFonts w:hint="default"/>
        <w:color w:val="2F5496" w:themeColor="accent1" w:themeShade="BF"/>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2F5496" w:themeColor="accent1" w:themeShade="BF"/>
      </w:rPr>
    </w:lvl>
    <w:lvl w:ilvl="4">
      <w:start w:val="1"/>
      <w:numFmt w:val="decimal"/>
      <w:lvlText w:val="%1.%2.%3.%4.%5"/>
      <w:lvlJc w:val="left"/>
      <w:pPr>
        <w:ind w:left="1080" w:hanging="1080"/>
      </w:pPr>
      <w:rPr>
        <w:rFonts w:hint="default"/>
        <w:color w:val="2F5496" w:themeColor="accent1" w:themeShade="BF"/>
      </w:rPr>
    </w:lvl>
    <w:lvl w:ilvl="5">
      <w:start w:val="1"/>
      <w:numFmt w:val="decimal"/>
      <w:lvlText w:val="%1.%2.%3.%4.%5.%6"/>
      <w:lvlJc w:val="left"/>
      <w:pPr>
        <w:ind w:left="1440" w:hanging="1440"/>
      </w:pPr>
      <w:rPr>
        <w:rFonts w:hint="default"/>
        <w:color w:val="2F5496" w:themeColor="accent1" w:themeShade="BF"/>
      </w:rPr>
    </w:lvl>
    <w:lvl w:ilvl="6">
      <w:start w:val="1"/>
      <w:numFmt w:val="decimal"/>
      <w:lvlText w:val="%1.%2.%3.%4.%5.%6.%7"/>
      <w:lvlJc w:val="left"/>
      <w:pPr>
        <w:ind w:left="1440" w:hanging="1440"/>
      </w:pPr>
      <w:rPr>
        <w:rFonts w:hint="default"/>
        <w:color w:val="2F5496" w:themeColor="accent1" w:themeShade="BF"/>
      </w:rPr>
    </w:lvl>
    <w:lvl w:ilvl="7">
      <w:start w:val="1"/>
      <w:numFmt w:val="decimal"/>
      <w:lvlText w:val="%1.%2.%3.%4.%5.%6.%7.%8"/>
      <w:lvlJc w:val="left"/>
      <w:pPr>
        <w:ind w:left="1800" w:hanging="1800"/>
      </w:pPr>
      <w:rPr>
        <w:rFonts w:hint="default"/>
        <w:color w:val="2F5496" w:themeColor="accent1" w:themeShade="BF"/>
      </w:rPr>
    </w:lvl>
    <w:lvl w:ilvl="8">
      <w:start w:val="1"/>
      <w:numFmt w:val="decimal"/>
      <w:lvlText w:val="%1.%2.%3.%4.%5.%6.%7.%8.%9"/>
      <w:lvlJc w:val="left"/>
      <w:pPr>
        <w:ind w:left="1800" w:hanging="1800"/>
      </w:pPr>
      <w:rPr>
        <w:rFonts w:hint="default"/>
        <w:color w:val="2F5496" w:themeColor="accent1" w:themeShade="BF"/>
      </w:rPr>
    </w:lvl>
  </w:abstractNum>
  <w:abstractNum w:abstractNumId="43" w15:restartNumberingAfterBreak="0">
    <w:nsid w:val="7B81609E"/>
    <w:multiLevelType w:val="multilevel"/>
    <w:tmpl w:val="0C380E0E"/>
    <w:lvl w:ilvl="0">
      <w:start w:val="1"/>
      <w:numFmt w:val="lowerRoman"/>
      <w:lvlText w:val="%1."/>
      <w:lvlJc w:val="right"/>
      <w:pPr>
        <w:ind w:left="720" w:hanging="72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44" w15:restartNumberingAfterBreak="0">
    <w:nsid w:val="7F8B5B2E"/>
    <w:multiLevelType w:val="hybridMultilevel"/>
    <w:tmpl w:val="BE4C14AC"/>
    <w:lvl w:ilvl="0" w:tplc="87D470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2387395">
    <w:abstractNumId w:val="28"/>
  </w:num>
  <w:num w:numId="2" w16cid:durableId="521088501">
    <w:abstractNumId w:val="40"/>
  </w:num>
  <w:num w:numId="3" w16cid:durableId="174348960">
    <w:abstractNumId w:val="2"/>
  </w:num>
  <w:num w:numId="4" w16cid:durableId="2014260466">
    <w:abstractNumId w:val="30"/>
  </w:num>
  <w:num w:numId="5" w16cid:durableId="1507556678">
    <w:abstractNumId w:val="29"/>
  </w:num>
  <w:num w:numId="6" w16cid:durableId="568417086">
    <w:abstractNumId w:val="35"/>
  </w:num>
  <w:num w:numId="7" w16cid:durableId="43647312">
    <w:abstractNumId w:val="6"/>
  </w:num>
  <w:num w:numId="8" w16cid:durableId="854881111">
    <w:abstractNumId w:val="17"/>
  </w:num>
  <w:num w:numId="9" w16cid:durableId="424424499">
    <w:abstractNumId w:val="44"/>
  </w:num>
  <w:num w:numId="10" w16cid:durableId="1288387057">
    <w:abstractNumId w:val="14"/>
  </w:num>
  <w:num w:numId="11" w16cid:durableId="79299014">
    <w:abstractNumId w:val="16"/>
  </w:num>
  <w:num w:numId="12" w16cid:durableId="2090273558">
    <w:abstractNumId w:val="43"/>
  </w:num>
  <w:num w:numId="13" w16cid:durableId="624822168">
    <w:abstractNumId w:val="20"/>
  </w:num>
  <w:num w:numId="14" w16cid:durableId="1653682219">
    <w:abstractNumId w:val="11"/>
  </w:num>
  <w:num w:numId="15" w16cid:durableId="414321319">
    <w:abstractNumId w:val="31"/>
  </w:num>
  <w:num w:numId="16" w16cid:durableId="975986796">
    <w:abstractNumId w:val="39"/>
  </w:num>
  <w:num w:numId="17" w16cid:durableId="1878003321">
    <w:abstractNumId w:val="32"/>
  </w:num>
  <w:num w:numId="18" w16cid:durableId="336691167">
    <w:abstractNumId w:val="24"/>
  </w:num>
  <w:num w:numId="19" w16cid:durableId="634334900">
    <w:abstractNumId w:val="38"/>
  </w:num>
  <w:num w:numId="20" w16cid:durableId="553079717">
    <w:abstractNumId w:val="10"/>
  </w:num>
  <w:num w:numId="21" w16cid:durableId="86731373">
    <w:abstractNumId w:val="13"/>
  </w:num>
  <w:num w:numId="22" w16cid:durableId="1247108849">
    <w:abstractNumId w:val="4"/>
  </w:num>
  <w:num w:numId="23" w16cid:durableId="1920401951">
    <w:abstractNumId w:val="5"/>
  </w:num>
  <w:num w:numId="24" w16cid:durableId="1533104219">
    <w:abstractNumId w:val="34"/>
  </w:num>
  <w:num w:numId="25" w16cid:durableId="797333817">
    <w:abstractNumId w:val="7"/>
  </w:num>
  <w:num w:numId="26" w16cid:durableId="994260579">
    <w:abstractNumId w:val="8"/>
  </w:num>
  <w:num w:numId="27" w16cid:durableId="307789474">
    <w:abstractNumId w:val="36"/>
  </w:num>
  <w:num w:numId="28" w16cid:durableId="1078674373">
    <w:abstractNumId w:val="9"/>
  </w:num>
  <w:num w:numId="29" w16cid:durableId="219172382">
    <w:abstractNumId w:val="1"/>
  </w:num>
  <w:num w:numId="30" w16cid:durableId="1089274025">
    <w:abstractNumId w:val="25"/>
  </w:num>
  <w:num w:numId="31" w16cid:durableId="1082485459">
    <w:abstractNumId w:val="19"/>
  </w:num>
  <w:num w:numId="32" w16cid:durableId="263542548">
    <w:abstractNumId w:val="33"/>
  </w:num>
  <w:num w:numId="33" w16cid:durableId="1362392494">
    <w:abstractNumId w:val="27"/>
  </w:num>
  <w:num w:numId="34" w16cid:durableId="1111392062">
    <w:abstractNumId w:val="42"/>
  </w:num>
  <w:num w:numId="35" w16cid:durableId="1729113220">
    <w:abstractNumId w:val="18"/>
  </w:num>
  <w:num w:numId="36" w16cid:durableId="536891940">
    <w:abstractNumId w:val="3"/>
  </w:num>
  <w:num w:numId="37" w16cid:durableId="1857696953">
    <w:abstractNumId w:val="26"/>
  </w:num>
  <w:num w:numId="38" w16cid:durableId="1083718536">
    <w:abstractNumId w:val="0"/>
  </w:num>
  <w:num w:numId="39" w16cid:durableId="1201479330">
    <w:abstractNumId w:val="37"/>
  </w:num>
  <w:num w:numId="40" w16cid:durableId="1322809429">
    <w:abstractNumId w:val="21"/>
  </w:num>
  <w:num w:numId="41" w16cid:durableId="1230387129">
    <w:abstractNumId w:val="41"/>
  </w:num>
  <w:num w:numId="42" w16cid:durableId="1602028272">
    <w:abstractNumId w:val="23"/>
  </w:num>
  <w:num w:numId="43" w16cid:durableId="1722746228">
    <w:abstractNumId w:val="22"/>
  </w:num>
  <w:num w:numId="44" w16cid:durableId="972558025">
    <w:abstractNumId w:val="12"/>
  </w:num>
  <w:num w:numId="45" w16cid:durableId="777408849">
    <w:abstractNumId w:val="15"/>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oniuk, Tomasz [ICRM]">
    <w15:presenceInfo w15:providerId="AD" w15:userId="S::TL63820@citi.com::59c42b87-f548-446a-9512-664e3df7c7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DE77D1"/>
    <w:rsid w:val="00000FB9"/>
    <w:rsid w:val="00001000"/>
    <w:rsid w:val="00001C49"/>
    <w:rsid w:val="00001DE5"/>
    <w:rsid w:val="000022FC"/>
    <w:rsid w:val="00002325"/>
    <w:rsid w:val="0000288E"/>
    <w:rsid w:val="00002AB0"/>
    <w:rsid w:val="00003253"/>
    <w:rsid w:val="00003287"/>
    <w:rsid w:val="0000334C"/>
    <w:rsid w:val="00003585"/>
    <w:rsid w:val="0000363F"/>
    <w:rsid w:val="0000381C"/>
    <w:rsid w:val="00003BAB"/>
    <w:rsid w:val="00003EC6"/>
    <w:rsid w:val="00003F91"/>
    <w:rsid w:val="00004103"/>
    <w:rsid w:val="00004131"/>
    <w:rsid w:val="000047F5"/>
    <w:rsid w:val="00004F5D"/>
    <w:rsid w:val="00005811"/>
    <w:rsid w:val="00005A80"/>
    <w:rsid w:val="00005AB2"/>
    <w:rsid w:val="00005BFC"/>
    <w:rsid w:val="00006BD1"/>
    <w:rsid w:val="00006C5D"/>
    <w:rsid w:val="00006DBD"/>
    <w:rsid w:val="00007685"/>
    <w:rsid w:val="0001047A"/>
    <w:rsid w:val="00010865"/>
    <w:rsid w:val="000109A2"/>
    <w:rsid w:val="0001171C"/>
    <w:rsid w:val="00011828"/>
    <w:rsid w:val="00011FCA"/>
    <w:rsid w:val="000120AD"/>
    <w:rsid w:val="00012406"/>
    <w:rsid w:val="00012536"/>
    <w:rsid w:val="00012837"/>
    <w:rsid w:val="00012A84"/>
    <w:rsid w:val="00012AC1"/>
    <w:rsid w:val="00013094"/>
    <w:rsid w:val="000130A3"/>
    <w:rsid w:val="00013591"/>
    <w:rsid w:val="00013A59"/>
    <w:rsid w:val="00013AD6"/>
    <w:rsid w:val="0001401A"/>
    <w:rsid w:val="00014360"/>
    <w:rsid w:val="0001454C"/>
    <w:rsid w:val="00014D2E"/>
    <w:rsid w:val="0001560F"/>
    <w:rsid w:val="00015D9F"/>
    <w:rsid w:val="0001649C"/>
    <w:rsid w:val="0001691A"/>
    <w:rsid w:val="00017223"/>
    <w:rsid w:val="0001746E"/>
    <w:rsid w:val="000179D4"/>
    <w:rsid w:val="00017FFC"/>
    <w:rsid w:val="0002052A"/>
    <w:rsid w:val="00020E91"/>
    <w:rsid w:val="000214BC"/>
    <w:rsid w:val="000217A5"/>
    <w:rsid w:val="000219A0"/>
    <w:rsid w:val="00021EC9"/>
    <w:rsid w:val="000224BF"/>
    <w:rsid w:val="000224E3"/>
    <w:rsid w:val="0002257E"/>
    <w:rsid w:val="00023205"/>
    <w:rsid w:val="0002409D"/>
    <w:rsid w:val="00024195"/>
    <w:rsid w:val="000242B0"/>
    <w:rsid w:val="00024996"/>
    <w:rsid w:val="00024CD7"/>
    <w:rsid w:val="00024D75"/>
    <w:rsid w:val="000250F6"/>
    <w:rsid w:val="00025576"/>
    <w:rsid w:val="00025CC7"/>
    <w:rsid w:val="00025DEA"/>
    <w:rsid w:val="000270E8"/>
    <w:rsid w:val="00027254"/>
    <w:rsid w:val="0002728D"/>
    <w:rsid w:val="00027603"/>
    <w:rsid w:val="00027C6C"/>
    <w:rsid w:val="00027E80"/>
    <w:rsid w:val="00030981"/>
    <w:rsid w:val="000309CB"/>
    <w:rsid w:val="00030E0D"/>
    <w:rsid w:val="00031C5B"/>
    <w:rsid w:val="000321A1"/>
    <w:rsid w:val="000323BF"/>
    <w:rsid w:val="00033501"/>
    <w:rsid w:val="00033C93"/>
    <w:rsid w:val="0003429C"/>
    <w:rsid w:val="000343E0"/>
    <w:rsid w:val="00034696"/>
    <w:rsid w:val="00034EBE"/>
    <w:rsid w:val="00035A38"/>
    <w:rsid w:val="00035D9B"/>
    <w:rsid w:val="00035FB0"/>
    <w:rsid w:val="000363B0"/>
    <w:rsid w:val="0003665E"/>
    <w:rsid w:val="00036D41"/>
    <w:rsid w:val="00037E6B"/>
    <w:rsid w:val="0004001A"/>
    <w:rsid w:val="00040574"/>
    <w:rsid w:val="00040C62"/>
    <w:rsid w:val="00041012"/>
    <w:rsid w:val="000418E5"/>
    <w:rsid w:val="000424E4"/>
    <w:rsid w:val="00042813"/>
    <w:rsid w:val="00042D65"/>
    <w:rsid w:val="00043E0D"/>
    <w:rsid w:val="00044329"/>
    <w:rsid w:val="000443C1"/>
    <w:rsid w:val="000448FB"/>
    <w:rsid w:val="00045DCA"/>
    <w:rsid w:val="00046307"/>
    <w:rsid w:val="00046978"/>
    <w:rsid w:val="00046BFC"/>
    <w:rsid w:val="00050752"/>
    <w:rsid w:val="00051096"/>
    <w:rsid w:val="00052355"/>
    <w:rsid w:val="000523F9"/>
    <w:rsid w:val="00052773"/>
    <w:rsid w:val="000529E7"/>
    <w:rsid w:val="00052B45"/>
    <w:rsid w:val="00053176"/>
    <w:rsid w:val="000535A3"/>
    <w:rsid w:val="000536BC"/>
    <w:rsid w:val="000538C5"/>
    <w:rsid w:val="000539C1"/>
    <w:rsid w:val="00053B84"/>
    <w:rsid w:val="0005443D"/>
    <w:rsid w:val="00054771"/>
    <w:rsid w:val="00054834"/>
    <w:rsid w:val="000548C6"/>
    <w:rsid w:val="00054CDC"/>
    <w:rsid w:val="00054D90"/>
    <w:rsid w:val="00054DDE"/>
    <w:rsid w:val="000552E8"/>
    <w:rsid w:val="00055726"/>
    <w:rsid w:val="00055A85"/>
    <w:rsid w:val="00055E62"/>
    <w:rsid w:val="0005620E"/>
    <w:rsid w:val="00056A43"/>
    <w:rsid w:val="00056E70"/>
    <w:rsid w:val="00057422"/>
    <w:rsid w:val="00057674"/>
    <w:rsid w:val="00057690"/>
    <w:rsid w:val="00057B18"/>
    <w:rsid w:val="00060048"/>
    <w:rsid w:val="00060918"/>
    <w:rsid w:val="00060A25"/>
    <w:rsid w:val="0006117B"/>
    <w:rsid w:val="00061FA3"/>
    <w:rsid w:val="0006248E"/>
    <w:rsid w:val="00062526"/>
    <w:rsid w:val="000628FF"/>
    <w:rsid w:val="00062AF2"/>
    <w:rsid w:val="000634E2"/>
    <w:rsid w:val="000634EB"/>
    <w:rsid w:val="00063BF3"/>
    <w:rsid w:val="00063D63"/>
    <w:rsid w:val="00063DFC"/>
    <w:rsid w:val="0006420F"/>
    <w:rsid w:val="0006481D"/>
    <w:rsid w:val="00064862"/>
    <w:rsid w:val="00065790"/>
    <w:rsid w:val="000659C0"/>
    <w:rsid w:val="00066206"/>
    <w:rsid w:val="00066715"/>
    <w:rsid w:val="0006699E"/>
    <w:rsid w:val="00066AF6"/>
    <w:rsid w:val="00066F4A"/>
    <w:rsid w:val="00067058"/>
    <w:rsid w:val="00067664"/>
    <w:rsid w:val="000678B6"/>
    <w:rsid w:val="00067BDA"/>
    <w:rsid w:val="00070034"/>
    <w:rsid w:val="000703B9"/>
    <w:rsid w:val="0007045C"/>
    <w:rsid w:val="000708F6"/>
    <w:rsid w:val="000709D1"/>
    <w:rsid w:val="00070F6B"/>
    <w:rsid w:val="0007162D"/>
    <w:rsid w:val="00071A43"/>
    <w:rsid w:val="00071B97"/>
    <w:rsid w:val="00072504"/>
    <w:rsid w:val="00072B9E"/>
    <w:rsid w:val="00072DA4"/>
    <w:rsid w:val="000731B0"/>
    <w:rsid w:val="000731ED"/>
    <w:rsid w:val="00073713"/>
    <w:rsid w:val="00073835"/>
    <w:rsid w:val="000739FD"/>
    <w:rsid w:val="00073DA8"/>
    <w:rsid w:val="00074088"/>
    <w:rsid w:val="000747C3"/>
    <w:rsid w:val="00074BD8"/>
    <w:rsid w:val="00074EC6"/>
    <w:rsid w:val="00075476"/>
    <w:rsid w:val="00075856"/>
    <w:rsid w:val="00075BCA"/>
    <w:rsid w:val="0007601D"/>
    <w:rsid w:val="00076661"/>
    <w:rsid w:val="00076AAD"/>
    <w:rsid w:val="00077064"/>
    <w:rsid w:val="000771DB"/>
    <w:rsid w:val="000775EB"/>
    <w:rsid w:val="0007768E"/>
    <w:rsid w:val="000802D9"/>
    <w:rsid w:val="00080D47"/>
    <w:rsid w:val="00080DD3"/>
    <w:rsid w:val="00080F4E"/>
    <w:rsid w:val="000815C5"/>
    <w:rsid w:val="000815C8"/>
    <w:rsid w:val="000816EC"/>
    <w:rsid w:val="00081B6C"/>
    <w:rsid w:val="00081BAC"/>
    <w:rsid w:val="00081D72"/>
    <w:rsid w:val="0008219C"/>
    <w:rsid w:val="000822E3"/>
    <w:rsid w:val="000824FC"/>
    <w:rsid w:val="000829EC"/>
    <w:rsid w:val="00082ECF"/>
    <w:rsid w:val="00083650"/>
    <w:rsid w:val="000838DC"/>
    <w:rsid w:val="00083B1E"/>
    <w:rsid w:val="00083B8E"/>
    <w:rsid w:val="00083D7E"/>
    <w:rsid w:val="00084293"/>
    <w:rsid w:val="0008449B"/>
    <w:rsid w:val="0008487B"/>
    <w:rsid w:val="0008496A"/>
    <w:rsid w:val="000849F6"/>
    <w:rsid w:val="00084B41"/>
    <w:rsid w:val="00084F54"/>
    <w:rsid w:val="00085321"/>
    <w:rsid w:val="0008586C"/>
    <w:rsid w:val="00085C55"/>
    <w:rsid w:val="000860D9"/>
    <w:rsid w:val="00086117"/>
    <w:rsid w:val="00086CC3"/>
    <w:rsid w:val="0008703E"/>
    <w:rsid w:val="000875FA"/>
    <w:rsid w:val="00087B7E"/>
    <w:rsid w:val="00087C42"/>
    <w:rsid w:val="00087DBF"/>
    <w:rsid w:val="00087EE6"/>
    <w:rsid w:val="00087F00"/>
    <w:rsid w:val="000901D1"/>
    <w:rsid w:val="00090982"/>
    <w:rsid w:val="0009112D"/>
    <w:rsid w:val="000918F9"/>
    <w:rsid w:val="00092181"/>
    <w:rsid w:val="00092DFF"/>
    <w:rsid w:val="00092E0D"/>
    <w:rsid w:val="00092E33"/>
    <w:rsid w:val="00093041"/>
    <w:rsid w:val="000930B4"/>
    <w:rsid w:val="00093296"/>
    <w:rsid w:val="000937DA"/>
    <w:rsid w:val="00093E68"/>
    <w:rsid w:val="000942E4"/>
    <w:rsid w:val="00094C4A"/>
    <w:rsid w:val="00094CA1"/>
    <w:rsid w:val="00094EDB"/>
    <w:rsid w:val="0009500E"/>
    <w:rsid w:val="00095243"/>
    <w:rsid w:val="00095803"/>
    <w:rsid w:val="00095ACC"/>
    <w:rsid w:val="00096647"/>
    <w:rsid w:val="00096B4B"/>
    <w:rsid w:val="000971AC"/>
    <w:rsid w:val="000978AF"/>
    <w:rsid w:val="00097B60"/>
    <w:rsid w:val="00097DE4"/>
    <w:rsid w:val="000A0144"/>
    <w:rsid w:val="000A0583"/>
    <w:rsid w:val="000A067A"/>
    <w:rsid w:val="000A0F54"/>
    <w:rsid w:val="000A105B"/>
    <w:rsid w:val="000A171F"/>
    <w:rsid w:val="000A1DC0"/>
    <w:rsid w:val="000A2443"/>
    <w:rsid w:val="000A2698"/>
    <w:rsid w:val="000A2A92"/>
    <w:rsid w:val="000A2EDE"/>
    <w:rsid w:val="000A3144"/>
    <w:rsid w:val="000A3261"/>
    <w:rsid w:val="000A33E3"/>
    <w:rsid w:val="000A366E"/>
    <w:rsid w:val="000A4248"/>
    <w:rsid w:val="000A482C"/>
    <w:rsid w:val="000A4A14"/>
    <w:rsid w:val="000A569E"/>
    <w:rsid w:val="000A5A28"/>
    <w:rsid w:val="000A62FC"/>
    <w:rsid w:val="000A6FF9"/>
    <w:rsid w:val="000A7091"/>
    <w:rsid w:val="000A7417"/>
    <w:rsid w:val="000A767D"/>
    <w:rsid w:val="000A7D03"/>
    <w:rsid w:val="000A7E60"/>
    <w:rsid w:val="000B08A4"/>
    <w:rsid w:val="000B1049"/>
    <w:rsid w:val="000B1D3B"/>
    <w:rsid w:val="000B1ECA"/>
    <w:rsid w:val="000B222F"/>
    <w:rsid w:val="000B22F4"/>
    <w:rsid w:val="000B27A3"/>
    <w:rsid w:val="000B2A9B"/>
    <w:rsid w:val="000B2D11"/>
    <w:rsid w:val="000B39FD"/>
    <w:rsid w:val="000B3A93"/>
    <w:rsid w:val="000B3E90"/>
    <w:rsid w:val="000B4036"/>
    <w:rsid w:val="000B42E7"/>
    <w:rsid w:val="000B5364"/>
    <w:rsid w:val="000B5565"/>
    <w:rsid w:val="000B5578"/>
    <w:rsid w:val="000B5697"/>
    <w:rsid w:val="000B5ACA"/>
    <w:rsid w:val="000B5DE2"/>
    <w:rsid w:val="000B5F14"/>
    <w:rsid w:val="000B5F94"/>
    <w:rsid w:val="000B603A"/>
    <w:rsid w:val="000B60F5"/>
    <w:rsid w:val="000B64B7"/>
    <w:rsid w:val="000B67C2"/>
    <w:rsid w:val="000B6E91"/>
    <w:rsid w:val="000B7071"/>
    <w:rsid w:val="000B7B89"/>
    <w:rsid w:val="000C0123"/>
    <w:rsid w:val="000C06CB"/>
    <w:rsid w:val="000C0B3D"/>
    <w:rsid w:val="000C0D9C"/>
    <w:rsid w:val="000C0E5A"/>
    <w:rsid w:val="000C1639"/>
    <w:rsid w:val="000C1A88"/>
    <w:rsid w:val="000C1FC1"/>
    <w:rsid w:val="000C2090"/>
    <w:rsid w:val="000C27F5"/>
    <w:rsid w:val="000C3174"/>
    <w:rsid w:val="000C3333"/>
    <w:rsid w:val="000C4205"/>
    <w:rsid w:val="000C4A74"/>
    <w:rsid w:val="000C4D2E"/>
    <w:rsid w:val="000C4EA8"/>
    <w:rsid w:val="000C4F89"/>
    <w:rsid w:val="000C4FB4"/>
    <w:rsid w:val="000C57E3"/>
    <w:rsid w:val="000C5895"/>
    <w:rsid w:val="000C6195"/>
    <w:rsid w:val="000C6629"/>
    <w:rsid w:val="000C6E50"/>
    <w:rsid w:val="000C79F1"/>
    <w:rsid w:val="000C7F6B"/>
    <w:rsid w:val="000D0280"/>
    <w:rsid w:val="000D05A3"/>
    <w:rsid w:val="000D08D7"/>
    <w:rsid w:val="000D08E2"/>
    <w:rsid w:val="000D0C1C"/>
    <w:rsid w:val="000D0E9C"/>
    <w:rsid w:val="000D0EB8"/>
    <w:rsid w:val="000D0F3B"/>
    <w:rsid w:val="000D11AC"/>
    <w:rsid w:val="000D1958"/>
    <w:rsid w:val="000D1C0E"/>
    <w:rsid w:val="000D1E82"/>
    <w:rsid w:val="000D1F18"/>
    <w:rsid w:val="000D200E"/>
    <w:rsid w:val="000D20CB"/>
    <w:rsid w:val="000D225E"/>
    <w:rsid w:val="000D2764"/>
    <w:rsid w:val="000D32B4"/>
    <w:rsid w:val="000D37CD"/>
    <w:rsid w:val="000D3DC8"/>
    <w:rsid w:val="000D41C1"/>
    <w:rsid w:val="000D4684"/>
    <w:rsid w:val="000D5028"/>
    <w:rsid w:val="000D5499"/>
    <w:rsid w:val="000D5525"/>
    <w:rsid w:val="000D55E7"/>
    <w:rsid w:val="000D56F6"/>
    <w:rsid w:val="000D5B0C"/>
    <w:rsid w:val="000D5D91"/>
    <w:rsid w:val="000D6A65"/>
    <w:rsid w:val="000D6EF4"/>
    <w:rsid w:val="000D7303"/>
    <w:rsid w:val="000D7434"/>
    <w:rsid w:val="000D78DF"/>
    <w:rsid w:val="000D796C"/>
    <w:rsid w:val="000E082C"/>
    <w:rsid w:val="000E0B92"/>
    <w:rsid w:val="000E0EB4"/>
    <w:rsid w:val="000E106B"/>
    <w:rsid w:val="000E112D"/>
    <w:rsid w:val="000E1A3A"/>
    <w:rsid w:val="000E1B5E"/>
    <w:rsid w:val="000E284A"/>
    <w:rsid w:val="000E2ABC"/>
    <w:rsid w:val="000E2AE5"/>
    <w:rsid w:val="000E304A"/>
    <w:rsid w:val="000E3871"/>
    <w:rsid w:val="000E3986"/>
    <w:rsid w:val="000E4D8D"/>
    <w:rsid w:val="000E4EC9"/>
    <w:rsid w:val="000E5F59"/>
    <w:rsid w:val="000E65A9"/>
    <w:rsid w:val="000E6758"/>
    <w:rsid w:val="000E6A4C"/>
    <w:rsid w:val="000E6F37"/>
    <w:rsid w:val="000E71AB"/>
    <w:rsid w:val="000E72E5"/>
    <w:rsid w:val="000F009D"/>
    <w:rsid w:val="000F0108"/>
    <w:rsid w:val="000F0274"/>
    <w:rsid w:val="000F02BE"/>
    <w:rsid w:val="000F052E"/>
    <w:rsid w:val="000F0A95"/>
    <w:rsid w:val="000F0D01"/>
    <w:rsid w:val="000F0F10"/>
    <w:rsid w:val="000F1057"/>
    <w:rsid w:val="000F16CC"/>
    <w:rsid w:val="000F1FDE"/>
    <w:rsid w:val="000F2569"/>
    <w:rsid w:val="000F26B4"/>
    <w:rsid w:val="000F297C"/>
    <w:rsid w:val="000F2E04"/>
    <w:rsid w:val="000F3D14"/>
    <w:rsid w:val="000F453B"/>
    <w:rsid w:val="000F4682"/>
    <w:rsid w:val="000F51D1"/>
    <w:rsid w:val="000F51E7"/>
    <w:rsid w:val="000F5614"/>
    <w:rsid w:val="000F5819"/>
    <w:rsid w:val="000F5871"/>
    <w:rsid w:val="000F58FA"/>
    <w:rsid w:val="000F6D92"/>
    <w:rsid w:val="000F70B2"/>
    <w:rsid w:val="000F7BB1"/>
    <w:rsid w:val="00100246"/>
    <w:rsid w:val="001003A0"/>
    <w:rsid w:val="00100402"/>
    <w:rsid w:val="00100D08"/>
    <w:rsid w:val="00100F2B"/>
    <w:rsid w:val="0010163B"/>
    <w:rsid w:val="00102381"/>
    <w:rsid w:val="0010250B"/>
    <w:rsid w:val="00102C27"/>
    <w:rsid w:val="0010369C"/>
    <w:rsid w:val="00103CBE"/>
    <w:rsid w:val="00103E10"/>
    <w:rsid w:val="00103E2D"/>
    <w:rsid w:val="00103E55"/>
    <w:rsid w:val="00104239"/>
    <w:rsid w:val="00104428"/>
    <w:rsid w:val="00104761"/>
    <w:rsid w:val="0010477D"/>
    <w:rsid w:val="00104847"/>
    <w:rsid w:val="00104BCE"/>
    <w:rsid w:val="00104D97"/>
    <w:rsid w:val="00105267"/>
    <w:rsid w:val="0010543C"/>
    <w:rsid w:val="0010563B"/>
    <w:rsid w:val="001056CC"/>
    <w:rsid w:val="00105916"/>
    <w:rsid w:val="00105AB5"/>
    <w:rsid w:val="00105BE1"/>
    <w:rsid w:val="00105D5C"/>
    <w:rsid w:val="001061D6"/>
    <w:rsid w:val="0010686C"/>
    <w:rsid w:val="001069A9"/>
    <w:rsid w:val="00106EA1"/>
    <w:rsid w:val="001075E5"/>
    <w:rsid w:val="001101ED"/>
    <w:rsid w:val="00110459"/>
    <w:rsid w:val="00110AAF"/>
    <w:rsid w:val="0011140A"/>
    <w:rsid w:val="0011196D"/>
    <w:rsid w:val="001119F9"/>
    <w:rsid w:val="00111DB4"/>
    <w:rsid w:val="00112834"/>
    <w:rsid w:val="00112A6B"/>
    <w:rsid w:val="00112B94"/>
    <w:rsid w:val="00112C60"/>
    <w:rsid w:val="00113D4F"/>
    <w:rsid w:val="00114044"/>
    <w:rsid w:val="0011460A"/>
    <w:rsid w:val="00114B29"/>
    <w:rsid w:val="00114F5D"/>
    <w:rsid w:val="00115252"/>
    <w:rsid w:val="001155AF"/>
    <w:rsid w:val="0011569D"/>
    <w:rsid w:val="001166B7"/>
    <w:rsid w:val="00117076"/>
    <w:rsid w:val="00117133"/>
    <w:rsid w:val="00117479"/>
    <w:rsid w:val="00117844"/>
    <w:rsid w:val="001209FD"/>
    <w:rsid w:val="0012126B"/>
    <w:rsid w:val="00121C2D"/>
    <w:rsid w:val="001220A4"/>
    <w:rsid w:val="001228F0"/>
    <w:rsid w:val="00122A74"/>
    <w:rsid w:val="00122E80"/>
    <w:rsid w:val="001233F2"/>
    <w:rsid w:val="00123EBF"/>
    <w:rsid w:val="00123F65"/>
    <w:rsid w:val="001240F7"/>
    <w:rsid w:val="001241EA"/>
    <w:rsid w:val="0012492C"/>
    <w:rsid w:val="00124A38"/>
    <w:rsid w:val="00124DC6"/>
    <w:rsid w:val="00124F58"/>
    <w:rsid w:val="0012505C"/>
    <w:rsid w:val="001250B5"/>
    <w:rsid w:val="001255DB"/>
    <w:rsid w:val="00125754"/>
    <w:rsid w:val="00126037"/>
    <w:rsid w:val="00126445"/>
    <w:rsid w:val="00126D0D"/>
    <w:rsid w:val="00127132"/>
    <w:rsid w:val="00127488"/>
    <w:rsid w:val="001275AB"/>
    <w:rsid w:val="0012793A"/>
    <w:rsid w:val="00127EE0"/>
    <w:rsid w:val="00127FFB"/>
    <w:rsid w:val="00130449"/>
    <w:rsid w:val="00130C33"/>
    <w:rsid w:val="00130F72"/>
    <w:rsid w:val="001326DB"/>
    <w:rsid w:val="00132B05"/>
    <w:rsid w:val="001335F4"/>
    <w:rsid w:val="001337FE"/>
    <w:rsid w:val="0013388F"/>
    <w:rsid w:val="00133B0C"/>
    <w:rsid w:val="001341AF"/>
    <w:rsid w:val="00134439"/>
    <w:rsid w:val="0013456A"/>
    <w:rsid w:val="0013482D"/>
    <w:rsid w:val="00135659"/>
    <w:rsid w:val="00135ABC"/>
    <w:rsid w:val="00136921"/>
    <w:rsid w:val="00136E8F"/>
    <w:rsid w:val="00136EEA"/>
    <w:rsid w:val="00137440"/>
    <w:rsid w:val="00137569"/>
    <w:rsid w:val="00137654"/>
    <w:rsid w:val="00137B8F"/>
    <w:rsid w:val="001403B5"/>
    <w:rsid w:val="00140467"/>
    <w:rsid w:val="001405CA"/>
    <w:rsid w:val="001407A5"/>
    <w:rsid w:val="00140804"/>
    <w:rsid w:val="00140B60"/>
    <w:rsid w:val="00140DEB"/>
    <w:rsid w:val="00141909"/>
    <w:rsid w:val="00141EFF"/>
    <w:rsid w:val="00141FF2"/>
    <w:rsid w:val="0014228B"/>
    <w:rsid w:val="001434D0"/>
    <w:rsid w:val="00144721"/>
    <w:rsid w:val="001451D4"/>
    <w:rsid w:val="00145DC5"/>
    <w:rsid w:val="00145F6E"/>
    <w:rsid w:val="001463B3"/>
    <w:rsid w:val="001466E1"/>
    <w:rsid w:val="00146867"/>
    <w:rsid w:val="00146D6D"/>
    <w:rsid w:val="00146E51"/>
    <w:rsid w:val="00147038"/>
    <w:rsid w:val="0014755F"/>
    <w:rsid w:val="001503BE"/>
    <w:rsid w:val="001506FC"/>
    <w:rsid w:val="001510BC"/>
    <w:rsid w:val="001516B6"/>
    <w:rsid w:val="001517D2"/>
    <w:rsid w:val="00151E6B"/>
    <w:rsid w:val="00151F51"/>
    <w:rsid w:val="0015282B"/>
    <w:rsid w:val="00152879"/>
    <w:rsid w:val="00152CB5"/>
    <w:rsid w:val="00152D3B"/>
    <w:rsid w:val="001531EB"/>
    <w:rsid w:val="00153C26"/>
    <w:rsid w:val="00153C85"/>
    <w:rsid w:val="00153CBA"/>
    <w:rsid w:val="00153EA4"/>
    <w:rsid w:val="001540F8"/>
    <w:rsid w:val="00154B04"/>
    <w:rsid w:val="00154C20"/>
    <w:rsid w:val="001555D8"/>
    <w:rsid w:val="0015566C"/>
    <w:rsid w:val="00155AD1"/>
    <w:rsid w:val="00155EA6"/>
    <w:rsid w:val="00157021"/>
    <w:rsid w:val="00157209"/>
    <w:rsid w:val="00160105"/>
    <w:rsid w:val="001602D0"/>
    <w:rsid w:val="0016032F"/>
    <w:rsid w:val="001603A1"/>
    <w:rsid w:val="00160624"/>
    <w:rsid w:val="001616DB"/>
    <w:rsid w:val="001618AB"/>
    <w:rsid w:val="001618D6"/>
    <w:rsid w:val="00161A66"/>
    <w:rsid w:val="00161C30"/>
    <w:rsid w:val="0016274C"/>
    <w:rsid w:val="001627D2"/>
    <w:rsid w:val="001628CF"/>
    <w:rsid w:val="00162BB3"/>
    <w:rsid w:val="001632B5"/>
    <w:rsid w:val="001637DF"/>
    <w:rsid w:val="00163EA8"/>
    <w:rsid w:val="001648A7"/>
    <w:rsid w:val="00164F72"/>
    <w:rsid w:val="00165441"/>
    <w:rsid w:val="00165ADE"/>
    <w:rsid w:val="00165D6D"/>
    <w:rsid w:val="001661F5"/>
    <w:rsid w:val="00166358"/>
    <w:rsid w:val="001665A1"/>
    <w:rsid w:val="00166DC2"/>
    <w:rsid w:val="00166E42"/>
    <w:rsid w:val="00167188"/>
    <w:rsid w:val="00167417"/>
    <w:rsid w:val="00167500"/>
    <w:rsid w:val="0016772D"/>
    <w:rsid w:val="00170226"/>
    <w:rsid w:val="00170228"/>
    <w:rsid w:val="00170A59"/>
    <w:rsid w:val="00170BF8"/>
    <w:rsid w:val="001712F0"/>
    <w:rsid w:val="00171E22"/>
    <w:rsid w:val="001729DD"/>
    <w:rsid w:val="00172ECD"/>
    <w:rsid w:val="001730D5"/>
    <w:rsid w:val="001745CE"/>
    <w:rsid w:val="00175073"/>
    <w:rsid w:val="001751FD"/>
    <w:rsid w:val="001757CF"/>
    <w:rsid w:val="00175A9C"/>
    <w:rsid w:val="00175E18"/>
    <w:rsid w:val="001768DD"/>
    <w:rsid w:val="00176A0B"/>
    <w:rsid w:val="0017749F"/>
    <w:rsid w:val="00180530"/>
    <w:rsid w:val="0018139C"/>
    <w:rsid w:val="001817B2"/>
    <w:rsid w:val="001820E8"/>
    <w:rsid w:val="00182D55"/>
    <w:rsid w:val="00182E38"/>
    <w:rsid w:val="001836F5"/>
    <w:rsid w:val="00183BA6"/>
    <w:rsid w:val="001841C5"/>
    <w:rsid w:val="00184838"/>
    <w:rsid w:val="00184E38"/>
    <w:rsid w:val="00184F3D"/>
    <w:rsid w:val="001856BF"/>
    <w:rsid w:val="00186310"/>
    <w:rsid w:val="00186E89"/>
    <w:rsid w:val="001872E7"/>
    <w:rsid w:val="00187311"/>
    <w:rsid w:val="001873FD"/>
    <w:rsid w:val="00187A71"/>
    <w:rsid w:val="00187B6D"/>
    <w:rsid w:val="001901CC"/>
    <w:rsid w:val="001908EA"/>
    <w:rsid w:val="001910AA"/>
    <w:rsid w:val="00191102"/>
    <w:rsid w:val="00191472"/>
    <w:rsid w:val="00191841"/>
    <w:rsid w:val="00191AB7"/>
    <w:rsid w:val="00191C77"/>
    <w:rsid w:val="001920B6"/>
    <w:rsid w:val="0019214D"/>
    <w:rsid w:val="001925A4"/>
    <w:rsid w:val="001928D8"/>
    <w:rsid w:val="00192A16"/>
    <w:rsid w:val="00192EE3"/>
    <w:rsid w:val="00192F24"/>
    <w:rsid w:val="00193C54"/>
    <w:rsid w:val="00194748"/>
    <w:rsid w:val="0019496E"/>
    <w:rsid w:val="00194CCF"/>
    <w:rsid w:val="001951D9"/>
    <w:rsid w:val="001956AC"/>
    <w:rsid w:val="00195CC1"/>
    <w:rsid w:val="00195DCB"/>
    <w:rsid w:val="00196002"/>
    <w:rsid w:val="00196324"/>
    <w:rsid w:val="0019678D"/>
    <w:rsid w:val="001968C7"/>
    <w:rsid w:val="00196EBF"/>
    <w:rsid w:val="00197C6E"/>
    <w:rsid w:val="001A0319"/>
    <w:rsid w:val="001A0771"/>
    <w:rsid w:val="001A0886"/>
    <w:rsid w:val="001A0B7C"/>
    <w:rsid w:val="001A0BED"/>
    <w:rsid w:val="001A0D17"/>
    <w:rsid w:val="001A12AB"/>
    <w:rsid w:val="001A20C6"/>
    <w:rsid w:val="001A28E1"/>
    <w:rsid w:val="001A2D3A"/>
    <w:rsid w:val="001A2EBC"/>
    <w:rsid w:val="001A2F30"/>
    <w:rsid w:val="001A2FE3"/>
    <w:rsid w:val="001A31F2"/>
    <w:rsid w:val="001A32BD"/>
    <w:rsid w:val="001A3484"/>
    <w:rsid w:val="001A3806"/>
    <w:rsid w:val="001A3D89"/>
    <w:rsid w:val="001A3DDF"/>
    <w:rsid w:val="001A4491"/>
    <w:rsid w:val="001A4547"/>
    <w:rsid w:val="001A4792"/>
    <w:rsid w:val="001A48A9"/>
    <w:rsid w:val="001A53E7"/>
    <w:rsid w:val="001A574B"/>
    <w:rsid w:val="001A5A4F"/>
    <w:rsid w:val="001A5A71"/>
    <w:rsid w:val="001A5CBA"/>
    <w:rsid w:val="001A5D53"/>
    <w:rsid w:val="001A61C2"/>
    <w:rsid w:val="001A62FB"/>
    <w:rsid w:val="001A675B"/>
    <w:rsid w:val="001A6797"/>
    <w:rsid w:val="001A6ADC"/>
    <w:rsid w:val="001A6B0C"/>
    <w:rsid w:val="001A6EF1"/>
    <w:rsid w:val="001A70A9"/>
    <w:rsid w:val="001A70DA"/>
    <w:rsid w:val="001A7188"/>
    <w:rsid w:val="001A7321"/>
    <w:rsid w:val="001A7D79"/>
    <w:rsid w:val="001B06DC"/>
    <w:rsid w:val="001B0ECA"/>
    <w:rsid w:val="001B0FCD"/>
    <w:rsid w:val="001B174A"/>
    <w:rsid w:val="001B19C5"/>
    <w:rsid w:val="001B1BD7"/>
    <w:rsid w:val="001B1E07"/>
    <w:rsid w:val="001B2AC6"/>
    <w:rsid w:val="001B2DEC"/>
    <w:rsid w:val="001B391B"/>
    <w:rsid w:val="001B3E96"/>
    <w:rsid w:val="001B4BE1"/>
    <w:rsid w:val="001B4F86"/>
    <w:rsid w:val="001B507D"/>
    <w:rsid w:val="001B509C"/>
    <w:rsid w:val="001B50D9"/>
    <w:rsid w:val="001B5308"/>
    <w:rsid w:val="001B5362"/>
    <w:rsid w:val="001B6010"/>
    <w:rsid w:val="001B616E"/>
    <w:rsid w:val="001B6486"/>
    <w:rsid w:val="001B65B5"/>
    <w:rsid w:val="001B752C"/>
    <w:rsid w:val="001B7739"/>
    <w:rsid w:val="001B77DC"/>
    <w:rsid w:val="001C0042"/>
    <w:rsid w:val="001C0118"/>
    <w:rsid w:val="001C0442"/>
    <w:rsid w:val="001C0884"/>
    <w:rsid w:val="001C0F22"/>
    <w:rsid w:val="001C1577"/>
    <w:rsid w:val="001C15FB"/>
    <w:rsid w:val="001C1D03"/>
    <w:rsid w:val="001C1E8D"/>
    <w:rsid w:val="001C225D"/>
    <w:rsid w:val="001C269F"/>
    <w:rsid w:val="001C2DCE"/>
    <w:rsid w:val="001C2E80"/>
    <w:rsid w:val="001C3177"/>
    <w:rsid w:val="001C31F1"/>
    <w:rsid w:val="001C3C55"/>
    <w:rsid w:val="001C3E5B"/>
    <w:rsid w:val="001C3F36"/>
    <w:rsid w:val="001C3F7C"/>
    <w:rsid w:val="001C43AC"/>
    <w:rsid w:val="001C4DCB"/>
    <w:rsid w:val="001C50F1"/>
    <w:rsid w:val="001C55D7"/>
    <w:rsid w:val="001C6255"/>
    <w:rsid w:val="001C67E8"/>
    <w:rsid w:val="001C6BE6"/>
    <w:rsid w:val="001C745D"/>
    <w:rsid w:val="001C74E5"/>
    <w:rsid w:val="001C7655"/>
    <w:rsid w:val="001C77DF"/>
    <w:rsid w:val="001C7801"/>
    <w:rsid w:val="001C7967"/>
    <w:rsid w:val="001C7B18"/>
    <w:rsid w:val="001D0871"/>
    <w:rsid w:val="001D0966"/>
    <w:rsid w:val="001D150E"/>
    <w:rsid w:val="001D2018"/>
    <w:rsid w:val="001D2189"/>
    <w:rsid w:val="001D2336"/>
    <w:rsid w:val="001D26DC"/>
    <w:rsid w:val="001D275C"/>
    <w:rsid w:val="001D27CF"/>
    <w:rsid w:val="001D28E0"/>
    <w:rsid w:val="001D2FE0"/>
    <w:rsid w:val="001D34EA"/>
    <w:rsid w:val="001D3842"/>
    <w:rsid w:val="001D401E"/>
    <w:rsid w:val="001D4740"/>
    <w:rsid w:val="001D5287"/>
    <w:rsid w:val="001D57EE"/>
    <w:rsid w:val="001D5A77"/>
    <w:rsid w:val="001D5A89"/>
    <w:rsid w:val="001D5E83"/>
    <w:rsid w:val="001D6512"/>
    <w:rsid w:val="001D6534"/>
    <w:rsid w:val="001D67A6"/>
    <w:rsid w:val="001D73A4"/>
    <w:rsid w:val="001D74C0"/>
    <w:rsid w:val="001D79C8"/>
    <w:rsid w:val="001D7CD1"/>
    <w:rsid w:val="001D7FD1"/>
    <w:rsid w:val="001E049E"/>
    <w:rsid w:val="001E08A9"/>
    <w:rsid w:val="001E0AFF"/>
    <w:rsid w:val="001E0E89"/>
    <w:rsid w:val="001E18E8"/>
    <w:rsid w:val="001E20A5"/>
    <w:rsid w:val="001E2354"/>
    <w:rsid w:val="001E2606"/>
    <w:rsid w:val="001E2B14"/>
    <w:rsid w:val="001E3050"/>
    <w:rsid w:val="001E30A5"/>
    <w:rsid w:val="001E3AB0"/>
    <w:rsid w:val="001E4182"/>
    <w:rsid w:val="001E41A1"/>
    <w:rsid w:val="001E41C4"/>
    <w:rsid w:val="001E4305"/>
    <w:rsid w:val="001E475A"/>
    <w:rsid w:val="001E5031"/>
    <w:rsid w:val="001E5D6B"/>
    <w:rsid w:val="001E62BD"/>
    <w:rsid w:val="001E6C1C"/>
    <w:rsid w:val="001E6E5E"/>
    <w:rsid w:val="001E7213"/>
    <w:rsid w:val="001F0052"/>
    <w:rsid w:val="001F06A9"/>
    <w:rsid w:val="001F0B82"/>
    <w:rsid w:val="001F11EC"/>
    <w:rsid w:val="001F1879"/>
    <w:rsid w:val="001F1BDF"/>
    <w:rsid w:val="001F1E02"/>
    <w:rsid w:val="001F1F2F"/>
    <w:rsid w:val="001F2131"/>
    <w:rsid w:val="001F22BE"/>
    <w:rsid w:val="001F249F"/>
    <w:rsid w:val="001F24C1"/>
    <w:rsid w:val="001F25EF"/>
    <w:rsid w:val="001F2CA7"/>
    <w:rsid w:val="001F2E88"/>
    <w:rsid w:val="001F3086"/>
    <w:rsid w:val="001F3551"/>
    <w:rsid w:val="001F3588"/>
    <w:rsid w:val="001F370B"/>
    <w:rsid w:val="001F3ADF"/>
    <w:rsid w:val="001F3C3E"/>
    <w:rsid w:val="001F4265"/>
    <w:rsid w:val="001F46B4"/>
    <w:rsid w:val="001F4835"/>
    <w:rsid w:val="001F4BE1"/>
    <w:rsid w:val="001F54A6"/>
    <w:rsid w:val="001F58BD"/>
    <w:rsid w:val="001F5A11"/>
    <w:rsid w:val="001F5BF6"/>
    <w:rsid w:val="001F5DC8"/>
    <w:rsid w:val="001F6A05"/>
    <w:rsid w:val="001F6CED"/>
    <w:rsid w:val="001F71FD"/>
    <w:rsid w:val="001F78E6"/>
    <w:rsid w:val="001F7A2F"/>
    <w:rsid w:val="001F7E48"/>
    <w:rsid w:val="002007A3"/>
    <w:rsid w:val="00200811"/>
    <w:rsid w:val="002009C7"/>
    <w:rsid w:val="002009C9"/>
    <w:rsid w:val="00200A95"/>
    <w:rsid w:val="00200C4B"/>
    <w:rsid w:val="00201205"/>
    <w:rsid w:val="00201274"/>
    <w:rsid w:val="00201429"/>
    <w:rsid w:val="00201741"/>
    <w:rsid w:val="00201E65"/>
    <w:rsid w:val="00202258"/>
    <w:rsid w:val="002029D0"/>
    <w:rsid w:val="00202FB9"/>
    <w:rsid w:val="00203402"/>
    <w:rsid w:val="0020357B"/>
    <w:rsid w:val="00203F8F"/>
    <w:rsid w:val="00204140"/>
    <w:rsid w:val="002044B7"/>
    <w:rsid w:val="00204814"/>
    <w:rsid w:val="00205640"/>
    <w:rsid w:val="00205975"/>
    <w:rsid w:val="00205B60"/>
    <w:rsid w:val="00205FD2"/>
    <w:rsid w:val="00206121"/>
    <w:rsid w:val="0020623F"/>
    <w:rsid w:val="00206B1F"/>
    <w:rsid w:val="00206F69"/>
    <w:rsid w:val="0020733F"/>
    <w:rsid w:val="00207460"/>
    <w:rsid w:val="002079A0"/>
    <w:rsid w:val="00207B91"/>
    <w:rsid w:val="00207DF2"/>
    <w:rsid w:val="00210571"/>
    <w:rsid w:val="00210581"/>
    <w:rsid w:val="00210A29"/>
    <w:rsid w:val="00210C8C"/>
    <w:rsid w:val="00211792"/>
    <w:rsid w:val="00211A0B"/>
    <w:rsid w:val="00211BCB"/>
    <w:rsid w:val="00212314"/>
    <w:rsid w:val="00212BD8"/>
    <w:rsid w:val="00212C23"/>
    <w:rsid w:val="00212F78"/>
    <w:rsid w:val="0021328A"/>
    <w:rsid w:val="0021342A"/>
    <w:rsid w:val="0021348F"/>
    <w:rsid w:val="00213505"/>
    <w:rsid w:val="0021407F"/>
    <w:rsid w:val="00214A4A"/>
    <w:rsid w:val="00215094"/>
    <w:rsid w:val="002152DC"/>
    <w:rsid w:val="002156FF"/>
    <w:rsid w:val="00215730"/>
    <w:rsid w:val="00216DFA"/>
    <w:rsid w:val="00216F34"/>
    <w:rsid w:val="002179CF"/>
    <w:rsid w:val="002179D5"/>
    <w:rsid w:val="00217AA4"/>
    <w:rsid w:val="00217DDD"/>
    <w:rsid w:val="00217E61"/>
    <w:rsid w:val="00217F1F"/>
    <w:rsid w:val="0022014D"/>
    <w:rsid w:val="00220B1B"/>
    <w:rsid w:val="00220C40"/>
    <w:rsid w:val="00220D82"/>
    <w:rsid w:val="0022114E"/>
    <w:rsid w:val="002215CA"/>
    <w:rsid w:val="0022190D"/>
    <w:rsid w:val="00222825"/>
    <w:rsid w:val="00222C1C"/>
    <w:rsid w:val="00222E6A"/>
    <w:rsid w:val="002231AB"/>
    <w:rsid w:val="0022322A"/>
    <w:rsid w:val="002236C5"/>
    <w:rsid w:val="002238CC"/>
    <w:rsid w:val="00223C5C"/>
    <w:rsid w:val="00223CB0"/>
    <w:rsid w:val="00223E84"/>
    <w:rsid w:val="00223F7F"/>
    <w:rsid w:val="002240D3"/>
    <w:rsid w:val="0022411D"/>
    <w:rsid w:val="0022422B"/>
    <w:rsid w:val="00224557"/>
    <w:rsid w:val="002245F1"/>
    <w:rsid w:val="002247FB"/>
    <w:rsid w:val="00224A1F"/>
    <w:rsid w:val="00224F69"/>
    <w:rsid w:val="00225105"/>
    <w:rsid w:val="0022615B"/>
    <w:rsid w:val="002264C0"/>
    <w:rsid w:val="002270BA"/>
    <w:rsid w:val="0022740F"/>
    <w:rsid w:val="002274F0"/>
    <w:rsid w:val="00227849"/>
    <w:rsid w:val="00227ADC"/>
    <w:rsid w:val="00227BDB"/>
    <w:rsid w:val="002303CD"/>
    <w:rsid w:val="0023042A"/>
    <w:rsid w:val="00230667"/>
    <w:rsid w:val="00230A29"/>
    <w:rsid w:val="0023140F"/>
    <w:rsid w:val="00231B38"/>
    <w:rsid w:val="00231FDA"/>
    <w:rsid w:val="0023245E"/>
    <w:rsid w:val="00232AF4"/>
    <w:rsid w:val="002330E3"/>
    <w:rsid w:val="002333C9"/>
    <w:rsid w:val="002335A6"/>
    <w:rsid w:val="00233750"/>
    <w:rsid w:val="00233BBD"/>
    <w:rsid w:val="00233E6F"/>
    <w:rsid w:val="00233F93"/>
    <w:rsid w:val="00234654"/>
    <w:rsid w:val="002348B6"/>
    <w:rsid w:val="00234FCB"/>
    <w:rsid w:val="0023534B"/>
    <w:rsid w:val="0023570B"/>
    <w:rsid w:val="00235C4B"/>
    <w:rsid w:val="0023620B"/>
    <w:rsid w:val="0023642C"/>
    <w:rsid w:val="0023645E"/>
    <w:rsid w:val="00236887"/>
    <w:rsid w:val="00237928"/>
    <w:rsid w:val="00237B8F"/>
    <w:rsid w:val="002400A2"/>
    <w:rsid w:val="0024010B"/>
    <w:rsid w:val="002403BE"/>
    <w:rsid w:val="0024084D"/>
    <w:rsid w:val="00240957"/>
    <w:rsid w:val="00242075"/>
    <w:rsid w:val="00242203"/>
    <w:rsid w:val="0024239D"/>
    <w:rsid w:val="0024317F"/>
    <w:rsid w:val="002438F0"/>
    <w:rsid w:val="00243F81"/>
    <w:rsid w:val="00244365"/>
    <w:rsid w:val="00244409"/>
    <w:rsid w:val="002447C7"/>
    <w:rsid w:val="00244A35"/>
    <w:rsid w:val="00245038"/>
    <w:rsid w:val="00245B3D"/>
    <w:rsid w:val="00246113"/>
    <w:rsid w:val="0024687D"/>
    <w:rsid w:val="00246AD8"/>
    <w:rsid w:val="00246BD1"/>
    <w:rsid w:val="00246C52"/>
    <w:rsid w:val="00246ECE"/>
    <w:rsid w:val="002475B4"/>
    <w:rsid w:val="00247F72"/>
    <w:rsid w:val="00250719"/>
    <w:rsid w:val="00250AA6"/>
    <w:rsid w:val="00250F11"/>
    <w:rsid w:val="00251877"/>
    <w:rsid w:val="00251F50"/>
    <w:rsid w:val="002521E4"/>
    <w:rsid w:val="0025276A"/>
    <w:rsid w:val="0025287C"/>
    <w:rsid w:val="00252892"/>
    <w:rsid w:val="002529C7"/>
    <w:rsid w:val="00253011"/>
    <w:rsid w:val="002531FA"/>
    <w:rsid w:val="00253719"/>
    <w:rsid w:val="0025401E"/>
    <w:rsid w:val="0025413F"/>
    <w:rsid w:val="002542A3"/>
    <w:rsid w:val="00254776"/>
    <w:rsid w:val="00255037"/>
    <w:rsid w:val="002553EC"/>
    <w:rsid w:val="0025560C"/>
    <w:rsid w:val="0025610A"/>
    <w:rsid w:val="0025642B"/>
    <w:rsid w:val="00256580"/>
    <w:rsid w:val="002565F8"/>
    <w:rsid w:val="0025669C"/>
    <w:rsid w:val="00256D44"/>
    <w:rsid w:val="00256E75"/>
    <w:rsid w:val="00256E7A"/>
    <w:rsid w:val="00257054"/>
    <w:rsid w:val="002571F0"/>
    <w:rsid w:val="00257645"/>
    <w:rsid w:val="0025769B"/>
    <w:rsid w:val="0025798E"/>
    <w:rsid w:val="00257E6E"/>
    <w:rsid w:val="00260123"/>
    <w:rsid w:val="002601A8"/>
    <w:rsid w:val="002607D0"/>
    <w:rsid w:val="00260812"/>
    <w:rsid w:val="002609C8"/>
    <w:rsid w:val="002611B5"/>
    <w:rsid w:val="00261307"/>
    <w:rsid w:val="00261D2D"/>
    <w:rsid w:val="00262940"/>
    <w:rsid w:val="00263EDE"/>
    <w:rsid w:val="0026414A"/>
    <w:rsid w:val="00264B48"/>
    <w:rsid w:val="00264BDA"/>
    <w:rsid w:val="002651F3"/>
    <w:rsid w:val="0026523C"/>
    <w:rsid w:val="002656D5"/>
    <w:rsid w:val="0026581C"/>
    <w:rsid w:val="00265C6A"/>
    <w:rsid w:val="00265DBE"/>
    <w:rsid w:val="00266285"/>
    <w:rsid w:val="00266502"/>
    <w:rsid w:val="00266539"/>
    <w:rsid w:val="00266908"/>
    <w:rsid w:val="00266FE7"/>
    <w:rsid w:val="002671D6"/>
    <w:rsid w:val="0027005C"/>
    <w:rsid w:val="0027018A"/>
    <w:rsid w:val="002703C9"/>
    <w:rsid w:val="002719B5"/>
    <w:rsid w:val="00271FAA"/>
    <w:rsid w:val="002721FD"/>
    <w:rsid w:val="002725D2"/>
    <w:rsid w:val="00273896"/>
    <w:rsid w:val="00273E89"/>
    <w:rsid w:val="00274008"/>
    <w:rsid w:val="0027416F"/>
    <w:rsid w:val="00274B42"/>
    <w:rsid w:val="00274D05"/>
    <w:rsid w:val="00274E96"/>
    <w:rsid w:val="00274ED5"/>
    <w:rsid w:val="00275225"/>
    <w:rsid w:val="002757CB"/>
    <w:rsid w:val="00275878"/>
    <w:rsid w:val="00275CFB"/>
    <w:rsid w:val="00275D23"/>
    <w:rsid w:val="00275DC5"/>
    <w:rsid w:val="002765BB"/>
    <w:rsid w:val="00276EF6"/>
    <w:rsid w:val="00276F19"/>
    <w:rsid w:val="00277324"/>
    <w:rsid w:val="00277711"/>
    <w:rsid w:val="002777B5"/>
    <w:rsid w:val="00277952"/>
    <w:rsid w:val="00277CEA"/>
    <w:rsid w:val="00277EAF"/>
    <w:rsid w:val="00280056"/>
    <w:rsid w:val="002809DF"/>
    <w:rsid w:val="002809EB"/>
    <w:rsid w:val="00280CBB"/>
    <w:rsid w:val="00280F97"/>
    <w:rsid w:val="00280FD0"/>
    <w:rsid w:val="002810A3"/>
    <w:rsid w:val="002810B7"/>
    <w:rsid w:val="00281473"/>
    <w:rsid w:val="00281BE7"/>
    <w:rsid w:val="00282340"/>
    <w:rsid w:val="002825C0"/>
    <w:rsid w:val="00282694"/>
    <w:rsid w:val="002827E3"/>
    <w:rsid w:val="0028295E"/>
    <w:rsid w:val="0028303C"/>
    <w:rsid w:val="00283392"/>
    <w:rsid w:val="002833E1"/>
    <w:rsid w:val="00283688"/>
    <w:rsid w:val="00284556"/>
    <w:rsid w:val="0028460D"/>
    <w:rsid w:val="002847B3"/>
    <w:rsid w:val="00284F64"/>
    <w:rsid w:val="0028524A"/>
    <w:rsid w:val="00285284"/>
    <w:rsid w:val="00285CF7"/>
    <w:rsid w:val="00286E89"/>
    <w:rsid w:val="0028710D"/>
    <w:rsid w:val="00287212"/>
    <w:rsid w:val="00287384"/>
    <w:rsid w:val="002878A2"/>
    <w:rsid w:val="00287FBA"/>
    <w:rsid w:val="00290C90"/>
    <w:rsid w:val="002910CB"/>
    <w:rsid w:val="002912DD"/>
    <w:rsid w:val="00291B15"/>
    <w:rsid w:val="00291CDE"/>
    <w:rsid w:val="00291D26"/>
    <w:rsid w:val="0029245B"/>
    <w:rsid w:val="00292629"/>
    <w:rsid w:val="002929F6"/>
    <w:rsid w:val="00292B1D"/>
    <w:rsid w:val="00292B9A"/>
    <w:rsid w:val="00292D86"/>
    <w:rsid w:val="00293533"/>
    <w:rsid w:val="002939CF"/>
    <w:rsid w:val="00293C85"/>
    <w:rsid w:val="002942FD"/>
    <w:rsid w:val="002949F7"/>
    <w:rsid w:val="00294DB0"/>
    <w:rsid w:val="00294ECA"/>
    <w:rsid w:val="00295173"/>
    <w:rsid w:val="00296672"/>
    <w:rsid w:val="00296D69"/>
    <w:rsid w:val="00296E8B"/>
    <w:rsid w:val="00296F39"/>
    <w:rsid w:val="00296F57"/>
    <w:rsid w:val="002A0036"/>
    <w:rsid w:val="002A043E"/>
    <w:rsid w:val="002A0920"/>
    <w:rsid w:val="002A0D7F"/>
    <w:rsid w:val="002A1540"/>
    <w:rsid w:val="002A1994"/>
    <w:rsid w:val="002A21F8"/>
    <w:rsid w:val="002A2D25"/>
    <w:rsid w:val="002A2F43"/>
    <w:rsid w:val="002A30A4"/>
    <w:rsid w:val="002A33A5"/>
    <w:rsid w:val="002A3938"/>
    <w:rsid w:val="002A3A8A"/>
    <w:rsid w:val="002A3C00"/>
    <w:rsid w:val="002A3E2A"/>
    <w:rsid w:val="002A3EF5"/>
    <w:rsid w:val="002A3F07"/>
    <w:rsid w:val="002A4069"/>
    <w:rsid w:val="002A4247"/>
    <w:rsid w:val="002A4317"/>
    <w:rsid w:val="002A438F"/>
    <w:rsid w:val="002A4666"/>
    <w:rsid w:val="002A487D"/>
    <w:rsid w:val="002A5B79"/>
    <w:rsid w:val="002A5F9D"/>
    <w:rsid w:val="002A64F9"/>
    <w:rsid w:val="002A6540"/>
    <w:rsid w:val="002A6585"/>
    <w:rsid w:val="002A72F8"/>
    <w:rsid w:val="002A7380"/>
    <w:rsid w:val="002A7B7E"/>
    <w:rsid w:val="002A7C08"/>
    <w:rsid w:val="002A7E5B"/>
    <w:rsid w:val="002B00B2"/>
    <w:rsid w:val="002B03F8"/>
    <w:rsid w:val="002B0B37"/>
    <w:rsid w:val="002B1723"/>
    <w:rsid w:val="002B1B07"/>
    <w:rsid w:val="002B204D"/>
    <w:rsid w:val="002B2174"/>
    <w:rsid w:val="002B29B3"/>
    <w:rsid w:val="002B2B45"/>
    <w:rsid w:val="002B33A1"/>
    <w:rsid w:val="002B3421"/>
    <w:rsid w:val="002B34E0"/>
    <w:rsid w:val="002B3E41"/>
    <w:rsid w:val="002B3E61"/>
    <w:rsid w:val="002B3ECE"/>
    <w:rsid w:val="002B426F"/>
    <w:rsid w:val="002B4502"/>
    <w:rsid w:val="002B45D1"/>
    <w:rsid w:val="002B4A9B"/>
    <w:rsid w:val="002B4BB0"/>
    <w:rsid w:val="002B528E"/>
    <w:rsid w:val="002B5402"/>
    <w:rsid w:val="002B54B4"/>
    <w:rsid w:val="002B56F4"/>
    <w:rsid w:val="002B5815"/>
    <w:rsid w:val="002B58E9"/>
    <w:rsid w:val="002B5D9A"/>
    <w:rsid w:val="002B6E79"/>
    <w:rsid w:val="002B78D2"/>
    <w:rsid w:val="002B7A72"/>
    <w:rsid w:val="002C09A2"/>
    <w:rsid w:val="002C11A5"/>
    <w:rsid w:val="002C1AC7"/>
    <w:rsid w:val="002C2421"/>
    <w:rsid w:val="002C2610"/>
    <w:rsid w:val="002C293D"/>
    <w:rsid w:val="002C2E7C"/>
    <w:rsid w:val="002C313F"/>
    <w:rsid w:val="002C35C3"/>
    <w:rsid w:val="002C35D7"/>
    <w:rsid w:val="002C367B"/>
    <w:rsid w:val="002C3B36"/>
    <w:rsid w:val="002C3BFA"/>
    <w:rsid w:val="002C5BB3"/>
    <w:rsid w:val="002C609B"/>
    <w:rsid w:val="002C680F"/>
    <w:rsid w:val="002C68D2"/>
    <w:rsid w:val="002C6B32"/>
    <w:rsid w:val="002C6B41"/>
    <w:rsid w:val="002C711F"/>
    <w:rsid w:val="002D0EAC"/>
    <w:rsid w:val="002D18CA"/>
    <w:rsid w:val="002D19D2"/>
    <w:rsid w:val="002D1B44"/>
    <w:rsid w:val="002D21B5"/>
    <w:rsid w:val="002D2C84"/>
    <w:rsid w:val="002D2E84"/>
    <w:rsid w:val="002D3436"/>
    <w:rsid w:val="002D344E"/>
    <w:rsid w:val="002D34FE"/>
    <w:rsid w:val="002D3735"/>
    <w:rsid w:val="002D3776"/>
    <w:rsid w:val="002D461E"/>
    <w:rsid w:val="002D5101"/>
    <w:rsid w:val="002D51BC"/>
    <w:rsid w:val="002D5D5E"/>
    <w:rsid w:val="002D6070"/>
    <w:rsid w:val="002D638E"/>
    <w:rsid w:val="002D69CC"/>
    <w:rsid w:val="002D6A5A"/>
    <w:rsid w:val="002D7444"/>
    <w:rsid w:val="002D78E4"/>
    <w:rsid w:val="002E0113"/>
    <w:rsid w:val="002E090C"/>
    <w:rsid w:val="002E0C0A"/>
    <w:rsid w:val="002E1169"/>
    <w:rsid w:val="002E125D"/>
    <w:rsid w:val="002E18F8"/>
    <w:rsid w:val="002E2F5E"/>
    <w:rsid w:val="002E3E98"/>
    <w:rsid w:val="002E4A8C"/>
    <w:rsid w:val="002E4C2C"/>
    <w:rsid w:val="002E5A98"/>
    <w:rsid w:val="002E5B1A"/>
    <w:rsid w:val="002E6045"/>
    <w:rsid w:val="002E622E"/>
    <w:rsid w:val="002E632E"/>
    <w:rsid w:val="002E7370"/>
    <w:rsid w:val="002E7626"/>
    <w:rsid w:val="002E7CF3"/>
    <w:rsid w:val="002F0099"/>
    <w:rsid w:val="002F044C"/>
    <w:rsid w:val="002F1420"/>
    <w:rsid w:val="002F159C"/>
    <w:rsid w:val="002F17DF"/>
    <w:rsid w:val="002F1C9F"/>
    <w:rsid w:val="002F2467"/>
    <w:rsid w:val="002F2B48"/>
    <w:rsid w:val="002F2EAC"/>
    <w:rsid w:val="002F2FA5"/>
    <w:rsid w:val="002F30F0"/>
    <w:rsid w:val="002F3616"/>
    <w:rsid w:val="002F3AE5"/>
    <w:rsid w:val="002F4ADD"/>
    <w:rsid w:val="002F4B12"/>
    <w:rsid w:val="002F5224"/>
    <w:rsid w:val="002F5396"/>
    <w:rsid w:val="002F5544"/>
    <w:rsid w:val="002F57F3"/>
    <w:rsid w:val="002F5C7B"/>
    <w:rsid w:val="002F67F4"/>
    <w:rsid w:val="002F69B7"/>
    <w:rsid w:val="002F7658"/>
    <w:rsid w:val="002F78E4"/>
    <w:rsid w:val="00300A64"/>
    <w:rsid w:val="00300D87"/>
    <w:rsid w:val="0030128F"/>
    <w:rsid w:val="003012D5"/>
    <w:rsid w:val="003013FD"/>
    <w:rsid w:val="00302181"/>
    <w:rsid w:val="00302267"/>
    <w:rsid w:val="0030247D"/>
    <w:rsid w:val="0030249C"/>
    <w:rsid w:val="00302ABA"/>
    <w:rsid w:val="00302C87"/>
    <w:rsid w:val="00302F8A"/>
    <w:rsid w:val="00303B8B"/>
    <w:rsid w:val="00303CFD"/>
    <w:rsid w:val="0030404C"/>
    <w:rsid w:val="003040C5"/>
    <w:rsid w:val="00304BF0"/>
    <w:rsid w:val="00304F55"/>
    <w:rsid w:val="00305E3A"/>
    <w:rsid w:val="0030602E"/>
    <w:rsid w:val="003061D0"/>
    <w:rsid w:val="003063E6"/>
    <w:rsid w:val="00306B4A"/>
    <w:rsid w:val="00306EFB"/>
    <w:rsid w:val="0030708D"/>
    <w:rsid w:val="003071FF"/>
    <w:rsid w:val="00307711"/>
    <w:rsid w:val="0030795D"/>
    <w:rsid w:val="00307D23"/>
    <w:rsid w:val="00311655"/>
    <w:rsid w:val="00311796"/>
    <w:rsid w:val="003118FF"/>
    <w:rsid w:val="00311FBB"/>
    <w:rsid w:val="003123FB"/>
    <w:rsid w:val="0031271B"/>
    <w:rsid w:val="0031288D"/>
    <w:rsid w:val="00312947"/>
    <w:rsid w:val="0031296B"/>
    <w:rsid w:val="00312B44"/>
    <w:rsid w:val="00313B63"/>
    <w:rsid w:val="003141E5"/>
    <w:rsid w:val="00314303"/>
    <w:rsid w:val="00314554"/>
    <w:rsid w:val="00314692"/>
    <w:rsid w:val="003147F9"/>
    <w:rsid w:val="003148FA"/>
    <w:rsid w:val="003149D8"/>
    <w:rsid w:val="00314CB2"/>
    <w:rsid w:val="00315491"/>
    <w:rsid w:val="00315583"/>
    <w:rsid w:val="00315C3A"/>
    <w:rsid w:val="00315EBB"/>
    <w:rsid w:val="00316EA9"/>
    <w:rsid w:val="00317D70"/>
    <w:rsid w:val="00320716"/>
    <w:rsid w:val="003207F4"/>
    <w:rsid w:val="003209D8"/>
    <w:rsid w:val="00320B38"/>
    <w:rsid w:val="00320EF7"/>
    <w:rsid w:val="0032139F"/>
    <w:rsid w:val="0032173D"/>
    <w:rsid w:val="0032187E"/>
    <w:rsid w:val="00321F3A"/>
    <w:rsid w:val="00322408"/>
    <w:rsid w:val="00322543"/>
    <w:rsid w:val="0032270F"/>
    <w:rsid w:val="00322A8F"/>
    <w:rsid w:val="00322B68"/>
    <w:rsid w:val="0032335F"/>
    <w:rsid w:val="0032362A"/>
    <w:rsid w:val="00323874"/>
    <w:rsid w:val="00323CE3"/>
    <w:rsid w:val="00324F20"/>
    <w:rsid w:val="00324FD3"/>
    <w:rsid w:val="00325365"/>
    <w:rsid w:val="00325475"/>
    <w:rsid w:val="00326374"/>
    <w:rsid w:val="00326398"/>
    <w:rsid w:val="00326D7B"/>
    <w:rsid w:val="0032706A"/>
    <w:rsid w:val="00327EB8"/>
    <w:rsid w:val="00330959"/>
    <w:rsid w:val="00330BAA"/>
    <w:rsid w:val="0033115F"/>
    <w:rsid w:val="0033122F"/>
    <w:rsid w:val="003312BA"/>
    <w:rsid w:val="00331A6F"/>
    <w:rsid w:val="00331C20"/>
    <w:rsid w:val="00331DAE"/>
    <w:rsid w:val="00332558"/>
    <w:rsid w:val="003326B8"/>
    <w:rsid w:val="00333028"/>
    <w:rsid w:val="00333263"/>
    <w:rsid w:val="00333368"/>
    <w:rsid w:val="00333700"/>
    <w:rsid w:val="00333998"/>
    <w:rsid w:val="00334442"/>
    <w:rsid w:val="003347B9"/>
    <w:rsid w:val="00334EF2"/>
    <w:rsid w:val="003360C2"/>
    <w:rsid w:val="003362DE"/>
    <w:rsid w:val="00336977"/>
    <w:rsid w:val="00336C03"/>
    <w:rsid w:val="0033721C"/>
    <w:rsid w:val="0033789A"/>
    <w:rsid w:val="00337EFC"/>
    <w:rsid w:val="00337F52"/>
    <w:rsid w:val="00337FE5"/>
    <w:rsid w:val="00340228"/>
    <w:rsid w:val="0034057B"/>
    <w:rsid w:val="00340686"/>
    <w:rsid w:val="003406FE"/>
    <w:rsid w:val="0034080C"/>
    <w:rsid w:val="00340A43"/>
    <w:rsid w:val="00340DD9"/>
    <w:rsid w:val="00341B95"/>
    <w:rsid w:val="003420CB"/>
    <w:rsid w:val="0034220A"/>
    <w:rsid w:val="00342537"/>
    <w:rsid w:val="0034289A"/>
    <w:rsid w:val="003436B5"/>
    <w:rsid w:val="003436E3"/>
    <w:rsid w:val="00343B54"/>
    <w:rsid w:val="00343DE9"/>
    <w:rsid w:val="003444D0"/>
    <w:rsid w:val="00344945"/>
    <w:rsid w:val="00345A93"/>
    <w:rsid w:val="00345D36"/>
    <w:rsid w:val="00345FCE"/>
    <w:rsid w:val="0034623B"/>
    <w:rsid w:val="003468EF"/>
    <w:rsid w:val="00346B0C"/>
    <w:rsid w:val="00346F22"/>
    <w:rsid w:val="003473D0"/>
    <w:rsid w:val="0034792E"/>
    <w:rsid w:val="00347CC2"/>
    <w:rsid w:val="00347FAB"/>
    <w:rsid w:val="00347FF5"/>
    <w:rsid w:val="0035007A"/>
    <w:rsid w:val="003502F5"/>
    <w:rsid w:val="00350F7D"/>
    <w:rsid w:val="00351B78"/>
    <w:rsid w:val="00352716"/>
    <w:rsid w:val="00352979"/>
    <w:rsid w:val="003529F0"/>
    <w:rsid w:val="00352ACE"/>
    <w:rsid w:val="00352ACF"/>
    <w:rsid w:val="00353B59"/>
    <w:rsid w:val="00353E6E"/>
    <w:rsid w:val="00354142"/>
    <w:rsid w:val="0035433D"/>
    <w:rsid w:val="003553FC"/>
    <w:rsid w:val="0035588B"/>
    <w:rsid w:val="00355B43"/>
    <w:rsid w:val="0035675C"/>
    <w:rsid w:val="00356989"/>
    <w:rsid w:val="00356A52"/>
    <w:rsid w:val="00356B35"/>
    <w:rsid w:val="00356BE7"/>
    <w:rsid w:val="00357413"/>
    <w:rsid w:val="00357563"/>
    <w:rsid w:val="0035785D"/>
    <w:rsid w:val="003579E4"/>
    <w:rsid w:val="00357E66"/>
    <w:rsid w:val="00357ED4"/>
    <w:rsid w:val="0036034B"/>
    <w:rsid w:val="00360467"/>
    <w:rsid w:val="00360DE4"/>
    <w:rsid w:val="00360FEE"/>
    <w:rsid w:val="00361179"/>
    <w:rsid w:val="003613B8"/>
    <w:rsid w:val="0036149F"/>
    <w:rsid w:val="0036181E"/>
    <w:rsid w:val="00361D90"/>
    <w:rsid w:val="0036241C"/>
    <w:rsid w:val="0036244C"/>
    <w:rsid w:val="003636C6"/>
    <w:rsid w:val="003639F9"/>
    <w:rsid w:val="00363DFF"/>
    <w:rsid w:val="003640CC"/>
    <w:rsid w:val="003644BE"/>
    <w:rsid w:val="00365B92"/>
    <w:rsid w:val="00365C2F"/>
    <w:rsid w:val="00365D91"/>
    <w:rsid w:val="00365F24"/>
    <w:rsid w:val="0036601C"/>
    <w:rsid w:val="00366AF9"/>
    <w:rsid w:val="0036793C"/>
    <w:rsid w:val="00367D30"/>
    <w:rsid w:val="0037004D"/>
    <w:rsid w:val="00370274"/>
    <w:rsid w:val="003705D6"/>
    <w:rsid w:val="00371000"/>
    <w:rsid w:val="003712E4"/>
    <w:rsid w:val="00371352"/>
    <w:rsid w:val="00371CA5"/>
    <w:rsid w:val="00371D94"/>
    <w:rsid w:val="00371E7B"/>
    <w:rsid w:val="00371EB9"/>
    <w:rsid w:val="00371FC7"/>
    <w:rsid w:val="0037256D"/>
    <w:rsid w:val="0037284B"/>
    <w:rsid w:val="00372ECF"/>
    <w:rsid w:val="0037325F"/>
    <w:rsid w:val="003732F6"/>
    <w:rsid w:val="00373429"/>
    <w:rsid w:val="00373655"/>
    <w:rsid w:val="003740E0"/>
    <w:rsid w:val="00374264"/>
    <w:rsid w:val="003743AA"/>
    <w:rsid w:val="00374518"/>
    <w:rsid w:val="00374A9D"/>
    <w:rsid w:val="00374B59"/>
    <w:rsid w:val="00374BB8"/>
    <w:rsid w:val="00374EF3"/>
    <w:rsid w:val="0037517C"/>
    <w:rsid w:val="00375514"/>
    <w:rsid w:val="00375A6E"/>
    <w:rsid w:val="00375B11"/>
    <w:rsid w:val="00375C28"/>
    <w:rsid w:val="00375CC7"/>
    <w:rsid w:val="00376169"/>
    <w:rsid w:val="00376680"/>
    <w:rsid w:val="00376FC6"/>
    <w:rsid w:val="00377087"/>
    <w:rsid w:val="00377428"/>
    <w:rsid w:val="00377A46"/>
    <w:rsid w:val="00377B46"/>
    <w:rsid w:val="00377D3D"/>
    <w:rsid w:val="00380855"/>
    <w:rsid w:val="00380994"/>
    <w:rsid w:val="00381289"/>
    <w:rsid w:val="00381702"/>
    <w:rsid w:val="00381A06"/>
    <w:rsid w:val="00381D98"/>
    <w:rsid w:val="00381F98"/>
    <w:rsid w:val="003821EE"/>
    <w:rsid w:val="00382205"/>
    <w:rsid w:val="00382475"/>
    <w:rsid w:val="003834A5"/>
    <w:rsid w:val="00383657"/>
    <w:rsid w:val="003845AE"/>
    <w:rsid w:val="00384A2D"/>
    <w:rsid w:val="00384EB8"/>
    <w:rsid w:val="00384FDA"/>
    <w:rsid w:val="00384FF0"/>
    <w:rsid w:val="00385ED7"/>
    <w:rsid w:val="003868B3"/>
    <w:rsid w:val="0038726F"/>
    <w:rsid w:val="00387379"/>
    <w:rsid w:val="003876E1"/>
    <w:rsid w:val="003879BE"/>
    <w:rsid w:val="00387AB3"/>
    <w:rsid w:val="00387E9B"/>
    <w:rsid w:val="00390E7B"/>
    <w:rsid w:val="003915B4"/>
    <w:rsid w:val="003915B8"/>
    <w:rsid w:val="003919F9"/>
    <w:rsid w:val="00391F73"/>
    <w:rsid w:val="003924EB"/>
    <w:rsid w:val="00392711"/>
    <w:rsid w:val="00393A78"/>
    <w:rsid w:val="00393B3F"/>
    <w:rsid w:val="00393E0F"/>
    <w:rsid w:val="00394180"/>
    <w:rsid w:val="00394334"/>
    <w:rsid w:val="003946E7"/>
    <w:rsid w:val="0039479D"/>
    <w:rsid w:val="0039522D"/>
    <w:rsid w:val="00395280"/>
    <w:rsid w:val="00395471"/>
    <w:rsid w:val="00395739"/>
    <w:rsid w:val="003958C5"/>
    <w:rsid w:val="003959A1"/>
    <w:rsid w:val="00395B1F"/>
    <w:rsid w:val="00396087"/>
    <w:rsid w:val="003965C9"/>
    <w:rsid w:val="00397483"/>
    <w:rsid w:val="0039798B"/>
    <w:rsid w:val="00397B83"/>
    <w:rsid w:val="00397C21"/>
    <w:rsid w:val="003A07BD"/>
    <w:rsid w:val="003A0A19"/>
    <w:rsid w:val="003A0A6C"/>
    <w:rsid w:val="003A107F"/>
    <w:rsid w:val="003A124F"/>
    <w:rsid w:val="003A12E5"/>
    <w:rsid w:val="003A1888"/>
    <w:rsid w:val="003A1DE5"/>
    <w:rsid w:val="003A2B7E"/>
    <w:rsid w:val="003A302B"/>
    <w:rsid w:val="003A31C7"/>
    <w:rsid w:val="003A365A"/>
    <w:rsid w:val="003A384F"/>
    <w:rsid w:val="003A39E1"/>
    <w:rsid w:val="003A3D37"/>
    <w:rsid w:val="003A3DA6"/>
    <w:rsid w:val="003A3E55"/>
    <w:rsid w:val="003A4261"/>
    <w:rsid w:val="003A4479"/>
    <w:rsid w:val="003A455A"/>
    <w:rsid w:val="003A4E42"/>
    <w:rsid w:val="003A4FD8"/>
    <w:rsid w:val="003A5C2C"/>
    <w:rsid w:val="003A5C9B"/>
    <w:rsid w:val="003A5EF5"/>
    <w:rsid w:val="003A659B"/>
    <w:rsid w:val="003A69AF"/>
    <w:rsid w:val="003A7D52"/>
    <w:rsid w:val="003A7E09"/>
    <w:rsid w:val="003B009F"/>
    <w:rsid w:val="003B02F0"/>
    <w:rsid w:val="003B0427"/>
    <w:rsid w:val="003B0429"/>
    <w:rsid w:val="003B1A68"/>
    <w:rsid w:val="003B1E14"/>
    <w:rsid w:val="003B1E6F"/>
    <w:rsid w:val="003B208C"/>
    <w:rsid w:val="003B2168"/>
    <w:rsid w:val="003B2475"/>
    <w:rsid w:val="003B264D"/>
    <w:rsid w:val="003B2B26"/>
    <w:rsid w:val="003B2E0F"/>
    <w:rsid w:val="003B344B"/>
    <w:rsid w:val="003B36E1"/>
    <w:rsid w:val="003B37C0"/>
    <w:rsid w:val="003B3809"/>
    <w:rsid w:val="003B380B"/>
    <w:rsid w:val="003B4014"/>
    <w:rsid w:val="003B4527"/>
    <w:rsid w:val="003B4E2E"/>
    <w:rsid w:val="003B6336"/>
    <w:rsid w:val="003B67E0"/>
    <w:rsid w:val="003B6E88"/>
    <w:rsid w:val="003B7A59"/>
    <w:rsid w:val="003B7B62"/>
    <w:rsid w:val="003B7C7C"/>
    <w:rsid w:val="003C031E"/>
    <w:rsid w:val="003C0AD0"/>
    <w:rsid w:val="003C0E0C"/>
    <w:rsid w:val="003C0ECF"/>
    <w:rsid w:val="003C116B"/>
    <w:rsid w:val="003C1235"/>
    <w:rsid w:val="003C13D1"/>
    <w:rsid w:val="003C14FE"/>
    <w:rsid w:val="003C1717"/>
    <w:rsid w:val="003C195D"/>
    <w:rsid w:val="003C19EA"/>
    <w:rsid w:val="003C2A6F"/>
    <w:rsid w:val="003C2F9A"/>
    <w:rsid w:val="003C3C8F"/>
    <w:rsid w:val="003C3D5E"/>
    <w:rsid w:val="003C3E05"/>
    <w:rsid w:val="003C420A"/>
    <w:rsid w:val="003C448F"/>
    <w:rsid w:val="003C44D2"/>
    <w:rsid w:val="003C4803"/>
    <w:rsid w:val="003C4B45"/>
    <w:rsid w:val="003C5088"/>
    <w:rsid w:val="003C51BE"/>
    <w:rsid w:val="003C5729"/>
    <w:rsid w:val="003C5C2C"/>
    <w:rsid w:val="003C636B"/>
    <w:rsid w:val="003C6406"/>
    <w:rsid w:val="003C6980"/>
    <w:rsid w:val="003C7703"/>
    <w:rsid w:val="003C7A67"/>
    <w:rsid w:val="003C7BF8"/>
    <w:rsid w:val="003D00AC"/>
    <w:rsid w:val="003D018D"/>
    <w:rsid w:val="003D0614"/>
    <w:rsid w:val="003D0D29"/>
    <w:rsid w:val="003D1011"/>
    <w:rsid w:val="003D18E0"/>
    <w:rsid w:val="003D1D10"/>
    <w:rsid w:val="003D1F40"/>
    <w:rsid w:val="003D27D8"/>
    <w:rsid w:val="003D2A96"/>
    <w:rsid w:val="003D2ED1"/>
    <w:rsid w:val="003D31DF"/>
    <w:rsid w:val="003D38EC"/>
    <w:rsid w:val="003D3F47"/>
    <w:rsid w:val="003D4144"/>
    <w:rsid w:val="003D42EC"/>
    <w:rsid w:val="003D4DF2"/>
    <w:rsid w:val="003D50DD"/>
    <w:rsid w:val="003D5179"/>
    <w:rsid w:val="003D5B9B"/>
    <w:rsid w:val="003D5E8A"/>
    <w:rsid w:val="003D6093"/>
    <w:rsid w:val="003D658F"/>
    <w:rsid w:val="003D7543"/>
    <w:rsid w:val="003D7A70"/>
    <w:rsid w:val="003D7B64"/>
    <w:rsid w:val="003D7B6B"/>
    <w:rsid w:val="003D7CFC"/>
    <w:rsid w:val="003E06F8"/>
    <w:rsid w:val="003E1F66"/>
    <w:rsid w:val="003E22CF"/>
    <w:rsid w:val="003E36F0"/>
    <w:rsid w:val="003E3746"/>
    <w:rsid w:val="003E41B4"/>
    <w:rsid w:val="003E445D"/>
    <w:rsid w:val="003E48F3"/>
    <w:rsid w:val="003E49C7"/>
    <w:rsid w:val="003E4A7E"/>
    <w:rsid w:val="003E4C6E"/>
    <w:rsid w:val="003E4ECA"/>
    <w:rsid w:val="003E550C"/>
    <w:rsid w:val="003E63B1"/>
    <w:rsid w:val="003E658F"/>
    <w:rsid w:val="003E65DA"/>
    <w:rsid w:val="003E67B1"/>
    <w:rsid w:val="003E6B28"/>
    <w:rsid w:val="003E7030"/>
    <w:rsid w:val="003E7267"/>
    <w:rsid w:val="003E742F"/>
    <w:rsid w:val="003E744C"/>
    <w:rsid w:val="003E759F"/>
    <w:rsid w:val="003E7DC7"/>
    <w:rsid w:val="003F0188"/>
    <w:rsid w:val="003F033E"/>
    <w:rsid w:val="003F04D4"/>
    <w:rsid w:val="003F0721"/>
    <w:rsid w:val="003F0C3D"/>
    <w:rsid w:val="003F1011"/>
    <w:rsid w:val="003F1D0A"/>
    <w:rsid w:val="003F1E19"/>
    <w:rsid w:val="003F2031"/>
    <w:rsid w:val="003F21CE"/>
    <w:rsid w:val="003F2570"/>
    <w:rsid w:val="003F29B4"/>
    <w:rsid w:val="003F3989"/>
    <w:rsid w:val="003F495B"/>
    <w:rsid w:val="003F4B6E"/>
    <w:rsid w:val="003F4E89"/>
    <w:rsid w:val="003F50E1"/>
    <w:rsid w:val="003F5A98"/>
    <w:rsid w:val="003F602B"/>
    <w:rsid w:val="003F675A"/>
    <w:rsid w:val="003F68E5"/>
    <w:rsid w:val="003F69A1"/>
    <w:rsid w:val="003F6A8E"/>
    <w:rsid w:val="003F750A"/>
    <w:rsid w:val="003F767B"/>
    <w:rsid w:val="003F7872"/>
    <w:rsid w:val="003F7E76"/>
    <w:rsid w:val="00400F14"/>
    <w:rsid w:val="00400F31"/>
    <w:rsid w:val="00401484"/>
    <w:rsid w:val="00401CE2"/>
    <w:rsid w:val="00401E3F"/>
    <w:rsid w:val="00402BB6"/>
    <w:rsid w:val="0040316D"/>
    <w:rsid w:val="0040358F"/>
    <w:rsid w:val="00403636"/>
    <w:rsid w:val="00403B62"/>
    <w:rsid w:val="004047FB"/>
    <w:rsid w:val="00404885"/>
    <w:rsid w:val="00405069"/>
    <w:rsid w:val="0040522C"/>
    <w:rsid w:val="004061A2"/>
    <w:rsid w:val="0040624A"/>
    <w:rsid w:val="0040629C"/>
    <w:rsid w:val="004064F4"/>
    <w:rsid w:val="004071A6"/>
    <w:rsid w:val="00407764"/>
    <w:rsid w:val="00407E00"/>
    <w:rsid w:val="00407F21"/>
    <w:rsid w:val="00407F5A"/>
    <w:rsid w:val="0041025D"/>
    <w:rsid w:val="00410585"/>
    <w:rsid w:val="004109E6"/>
    <w:rsid w:val="00410A6A"/>
    <w:rsid w:val="0041144A"/>
    <w:rsid w:val="00411701"/>
    <w:rsid w:val="00411959"/>
    <w:rsid w:val="00411B69"/>
    <w:rsid w:val="00411CFB"/>
    <w:rsid w:val="00412956"/>
    <w:rsid w:val="00412ADC"/>
    <w:rsid w:val="0041381C"/>
    <w:rsid w:val="0041395A"/>
    <w:rsid w:val="00413BA9"/>
    <w:rsid w:val="0041450B"/>
    <w:rsid w:val="004148E1"/>
    <w:rsid w:val="004149D5"/>
    <w:rsid w:val="00414F78"/>
    <w:rsid w:val="00415047"/>
    <w:rsid w:val="004153D6"/>
    <w:rsid w:val="00415556"/>
    <w:rsid w:val="00415AC7"/>
    <w:rsid w:val="00415FC6"/>
    <w:rsid w:val="004163A6"/>
    <w:rsid w:val="00416754"/>
    <w:rsid w:val="0041676D"/>
    <w:rsid w:val="00416AA7"/>
    <w:rsid w:val="00416B00"/>
    <w:rsid w:val="00416B0A"/>
    <w:rsid w:val="00416B59"/>
    <w:rsid w:val="00416F27"/>
    <w:rsid w:val="00417575"/>
    <w:rsid w:val="00417662"/>
    <w:rsid w:val="0041778F"/>
    <w:rsid w:val="00417D27"/>
    <w:rsid w:val="00420014"/>
    <w:rsid w:val="00420289"/>
    <w:rsid w:val="00420A77"/>
    <w:rsid w:val="00420A88"/>
    <w:rsid w:val="0042119B"/>
    <w:rsid w:val="00421409"/>
    <w:rsid w:val="00421541"/>
    <w:rsid w:val="004217AF"/>
    <w:rsid w:val="00421839"/>
    <w:rsid w:val="004219E0"/>
    <w:rsid w:val="004224C9"/>
    <w:rsid w:val="004226C0"/>
    <w:rsid w:val="00422EAC"/>
    <w:rsid w:val="004231E1"/>
    <w:rsid w:val="00423261"/>
    <w:rsid w:val="004232E4"/>
    <w:rsid w:val="00423C3E"/>
    <w:rsid w:val="004253C3"/>
    <w:rsid w:val="0042582C"/>
    <w:rsid w:val="00426357"/>
    <w:rsid w:val="004267BE"/>
    <w:rsid w:val="00426AFD"/>
    <w:rsid w:val="00427AEE"/>
    <w:rsid w:val="00427DCD"/>
    <w:rsid w:val="00430468"/>
    <w:rsid w:val="0043079F"/>
    <w:rsid w:val="00430E7B"/>
    <w:rsid w:val="00431719"/>
    <w:rsid w:val="00431CB1"/>
    <w:rsid w:val="00431F69"/>
    <w:rsid w:val="00432801"/>
    <w:rsid w:val="00432A5F"/>
    <w:rsid w:val="00433191"/>
    <w:rsid w:val="00433345"/>
    <w:rsid w:val="00433964"/>
    <w:rsid w:val="00433A1D"/>
    <w:rsid w:val="00434272"/>
    <w:rsid w:val="004342BE"/>
    <w:rsid w:val="00434840"/>
    <w:rsid w:val="00434A8B"/>
    <w:rsid w:val="00435031"/>
    <w:rsid w:val="0043546D"/>
    <w:rsid w:val="00436166"/>
    <w:rsid w:val="00436360"/>
    <w:rsid w:val="004367AB"/>
    <w:rsid w:val="00437665"/>
    <w:rsid w:val="00437741"/>
    <w:rsid w:val="0043780C"/>
    <w:rsid w:val="004400F8"/>
    <w:rsid w:val="00440484"/>
    <w:rsid w:val="00441A65"/>
    <w:rsid w:val="00441B08"/>
    <w:rsid w:val="004421A4"/>
    <w:rsid w:val="004425D8"/>
    <w:rsid w:val="0044284D"/>
    <w:rsid w:val="00442ADA"/>
    <w:rsid w:val="00442E62"/>
    <w:rsid w:val="00443AF1"/>
    <w:rsid w:val="0044429D"/>
    <w:rsid w:val="00444E77"/>
    <w:rsid w:val="004450A0"/>
    <w:rsid w:val="0044517D"/>
    <w:rsid w:val="004459DF"/>
    <w:rsid w:val="00445C93"/>
    <w:rsid w:val="00445DAC"/>
    <w:rsid w:val="004462C8"/>
    <w:rsid w:val="0044667B"/>
    <w:rsid w:val="00446945"/>
    <w:rsid w:val="0044718C"/>
    <w:rsid w:val="00447473"/>
    <w:rsid w:val="00447622"/>
    <w:rsid w:val="00447BDF"/>
    <w:rsid w:val="00450794"/>
    <w:rsid w:val="00450937"/>
    <w:rsid w:val="004513D7"/>
    <w:rsid w:val="0045211F"/>
    <w:rsid w:val="00452663"/>
    <w:rsid w:val="00452A9C"/>
    <w:rsid w:val="00453326"/>
    <w:rsid w:val="0045359E"/>
    <w:rsid w:val="00453D15"/>
    <w:rsid w:val="004542CA"/>
    <w:rsid w:val="004549D4"/>
    <w:rsid w:val="00455367"/>
    <w:rsid w:val="00455454"/>
    <w:rsid w:val="00455835"/>
    <w:rsid w:val="00455AF9"/>
    <w:rsid w:val="00455F79"/>
    <w:rsid w:val="0045608B"/>
    <w:rsid w:val="0045625F"/>
    <w:rsid w:val="004563FE"/>
    <w:rsid w:val="0045677F"/>
    <w:rsid w:val="00456862"/>
    <w:rsid w:val="00456912"/>
    <w:rsid w:val="00456A18"/>
    <w:rsid w:val="00456BED"/>
    <w:rsid w:val="00456DCA"/>
    <w:rsid w:val="0045768C"/>
    <w:rsid w:val="004576D8"/>
    <w:rsid w:val="00457EAE"/>
    <w:rsid w:val="00460380"/>
    <w:rsid w:val="004604A9"/>
    <w:rsid w:val="004605E3"/>
    <w:rsid w:val="00460A5B"/>
    <w:rsid w:val="00460AA7"/>
    <w:rsid w:val="00460B95"/>
    <w:rsid w:val="00460BF2"/>
    <w:rsid w:val="0046105D"/>
    <w:rsid w:val="00461CBD"/>
    <w:rsid w:val="00461FFC"/>
    <w:rsid w:val="00462115"/>
    <w:rsid w:val="0046220E"/>
    <w:rsid w:val="00462A16"/>
    <w:rsid w:val="00462A32"/>
    <w:rsid w:val="00462BD3"/>
    <w:rsid w:val="00462E9B"/>
    <w:rsid w:val="00463770"/>
    <w:rsid w:val="0046390E"/>
    <w:rsid w:val="00463A06"/>
    <w:rsid w:val="00463D6B"/>
    <w:rsid w:val="004646D3"/>
    <w:rsid w:val="004647BA"/>
    <w:rsid w:val="00464813"/>
    <w:rsid w:val="00464844"/>
    <w:rsid w:val="00464AD3"/>
    <w:rsid w:val="00464E09"/>
    <w:rsid w:val="00465411"/>
    <w:rsid w:val="00465522"/>
    <w:rsid w:val="004655F9"/>
    <w:rsid w:val="00465673"/>
    <w:rsid w:val="00465F3F"/>
    <w:rsid w:val="00467062"/>
    <w:rsid w:val="004670B1"/>
    <w:rsid w:val="004676EF"/>
    <w:rsid w:val="00467943"/>
    <w:rsid w:val="00467BF8"/>
    <w:rsid w:val="00467E06"/>
    <w:rsid w:val="00467FEF"/>
    <w:rsid w:val="00470E28"/>
    <w:rsid w:val="00471B90"/>
    <w:rsid w:val="004722D0"/>
    <w:rsid w:val="00472B10"/>
    <w:rsid w:val="00472B6C"/>
    <w:rsid w:val="004731A1"/>
    <w:rsid w:val="004732D8"/>
    <w:rsid w:val="004733F2"/>
    <w:rsid w:val="00473615"/>
    <w:rsid w:val="00473719"/>
    <w:rsid w:val="0047397C"/>
    <w:rsid w:val="00473E59"/>
    <w:rsid w:val="00474422"/>
    <w:rsid w:val="0047506F"/>
    <w:rsid w:val="00475445"/>
    <w:rsid w:val="004759D6"/>
    <w:rsid w:val="004759E0"/>
    <w:rsid w:val="00475DEC"/>
    <w:rsid w:val="00475F70"/>
    <w:rsid w:val="00476423"/>
    <w:rsid w:val="00476E4F"/>
    <w:rsid w:val="004771E0"/>
    <w:rsid w:val="00477207"/>
    <w:rsid w:val="0047724B"/>
    <w:rsid w:val="00477369"/>
    <w:rsid w:val="0047784F"/>
    <w:rsid w:val="00480588"/>
    <w:rsid w:val="004807E8"/>
    <w:rsid w:val="00480F59"/>
    <w:rsid w:val="004816D3"/>
    <w:rsid w:val="00481BD4"/>
    <w:rsid w:val="00482C1E"/>
    <w:rsid w:val="00482E35"/>
    <w:rsid w:val="00482F62"/>
    <w:rsid w:val="00483232"/>
    <w:rsid w:val="004837C2"/>
    <w:rsid w:val="004838E5"/>
    <w:rsid w:val="00483E4A"/>
    <w:rsid w:val="00484041"/>
    <w:rsid w:val="004847B5"/>
    <w:rsid w:val="004848C2"/>
    <w:rsid w:val="00484DDB"/>
    <w:rsid w:val="00484E16"/>
    <w:rsid w:val="00484FB3"/>
    <w:rsid w:val="004850AD"/>
    <w:rsid w:val="00485A69"/>
    <w:rsid w:val="00485A9D"/>
    <w:rsid w:val="00485C2D"/>
    <w:rsid w:val="00486CE0"/>
    <w:rsid w:val="004872CE"/>
    <w:rsid w:val="00487C40"/>
    <w:rsid w:val="004904DF"/>
    <w:rsid w:val="00490892"/>
    <w:rsid w:val="00490965"/>
    <w:rsid w:val="0049122E"/>
    <w:rsid w:val="00491272"/>
    <w:rsid w:val="00491745"/>
    <w:rsid w:val="004917DB"/>
    <w:rsid w:val="004917E3"/>
    <w:rsid w:val="00491D49"/>
    <w:rsid w:val="00491F38"/>
    <w:rsid w:val="00492720"/>
    <w:rsid w:val="00492F9D"/>
    <w:rsid w:val="00493603"/>
    <w:rsid w:val="00493B55"/>
    <w:rsid w:val="00493BBB"/>
    <w:rsid w:val="00493DE9"/>
    <w:rsid w:val="00493EB7"/>
    <w:rsid w:val="004942E1"/>
    <w:rsid w:val="004945B7"/>
    <w:rsid w:val="00494C90"/>
    <w:rsid w:val="0049523F"/>
    <w:rsid w:val="00495424"/>
    <w:rsid w:val="00495FFA"/>
    <w:rsid w:val="00496329"/>
    <w:rsid w:val="00496460"/>
    <w:rsid w:val="00496999"/>
    <w:rsid w:val="00496A6B"/>
    <w:rsid w:val="00496DA6"/>
    <w:rsid w:val="00497030"/>
    <w:rsid w:val="004977A4"/>
    <w:rsid w:val="004A016C"/>
    <w:rsid w:val="004A01BC"/>
    <w:rsid w:val="004A02C6"/>
    <w:rsid w:val="004A03A0"/>
    <w:rsid w:val="004A03B0"/>
    <w:rsid w:val="004A136C"/>
    <w:rsid w:val="004A1878"/>
    <w:rsid w:val="004A2690"/>
    <w:rsid w:val="004A26D7"/>
    <w:rsid w:val="004A2A3B"/>
    <w:rsid w:val="004A2B7D"/>
    <w:rsid w:val="004A2CDD"/>
    <w:rsid w:val="004A323E"/>
    <w:rsid w:val="004A332F"/>
    <w:rsid w:val="004A333D"/>
    <w:rsid w:val="004A3384"/>
    <w:rsid w:val="004A37E6"/>
    <w:rsid w:val="004A448B"/>
    <w:rsid w:val="004A4C93"/>
    <w:rsid w:val="004A4EBD"/>
    <w:rsid w:val="004A5232"/>
    <w:rsid w:val="004A53AB"/>
    <w:rsid w:val="004A54B2"/>
    <w:rsid w:val="004A58CD"/>
    <w:rsid w:val="004A59E6"/>
    <w:rsid w:val="004A5E8D"/>
    <w:rsid w:val="004A6B63"/>
    <w:rsid w:val="004A7ACC"/>
    <w:rsid w:val="004B0D3F"/>
    <w:rsid w:val="004B2297"/>
    <w:rsid w:val="004B30B9"/>
    <w:rsid w:val="004B37B4"/>
    <w:rsid w:val="004B3B42"/>
    <w:rsid w:val="004B3D0F"/>
    <w:rsid w:val="004B3D21"/>
    <w:rsid w:val="004B469C"/>
    <w:rsid w:val="004B4871"/>
    <w:rsid w:val="004B4AE3"/>
    <w:rsid w:val="004B4DC3"/>
    <w:rsid w:val="004B5264"/>
    <w:rsid w:val="004B560E"/>
    <w:rsid w:val="004B6034"/>
    <w:rsid w:val="004B64A0"/>
    <w:rsid w:val="004B7B2B"/>
    <w:rsid w:val="004B7C84"/>
    <w:rsid w:val="004C0244"/>
    <w:rsid w:val="004C030D"/>
    <w:rsid w:val="004C04E0"/>
    <w:rsid w:val="004C0EE6"/>
    <w:rsid w:val="004C0F36"/>
    <w:rsid w:val="004C1A0E"/>
    <w:rsid w:val="004C1E72"/>
    <w:rsid w:val="004C2C04"/>
    <w:rsid w:val="004C31B4"/>
    <w:rsid w:val="004C3399"/>
    <w:rsid w:val="004C35A6"/>
    <w:rsid w:val="004C3800"/>
    <w:rsid w:val="004C3A45"/>
    <w:rsid w:val="004C3AFE"/>
    <w:rsid w:val="004C3D8F"/>
    <w:rsid w:val="004C44BA"/>
    <w:rsid w:val="004C45E6"/>
    <w:rsid w:val="004C4BAA"/>
    <w:rsid w:val="004C4DF7"/>
    <w:rsid w:val="004C4F29"/>
    <w:rsid w:val="004C52D0"/>
    <w:rsid w:val="004C534D"/>
    <w:rsid w:val="004C56AD"/>
    <w:rsid w:val="004C593F"/>
    <w:rsid w:val="004C5DA4"/>
    <w:rsid w:val="004C5E33"/>
    <w:rsid w:val="004C65B9"/>
    <w:rsid w:val="004C6B21"/>
    <w:rsid w:val="004C6BE8"/>
    <w:rsid w:val="004C7016"/>
    <w:rsid w:val="004C7567"/>
    <w:rsid w:val="004C765E"/>
    <w:rsid w:val="004C7879"/>
    <w:rsid w:val="004C7AD5"/>
    <w:rsid w:val="004C7CF0"/>
    <w:rsid w:val="004C7D9F"/>
    <w:rsid w:val="004C7E72"/>
    <w:rsid w:val="004D03A7"/>
    <w:rsid w:val="004D0BEA"/>
    <w:rsid w:val="004D10E5"/>
    <w:rsid w:val="004D16E9"/>
    <w:rsid w:val="004D1B08"/>
    <w:rsid w:val="004D1EFD"/>
    <w:rsid w:val="004D2113"/>
    <w:rsid w:val="004D21E9"/>
    <w:rsid w:val="004D222A"/>
    <w:rsid w:val="004D23AC"/>
    <w:rsid w:val="004D293E"/>
    <w:rsid w:val="004D2D9A"/>
    <w:rsid w:val="004D2F76"/>
    <w:rsid w:val="004D2FE1"/>
    <w:rsid w:val="004D326B"/>
    <w:rsid w:val="004D33A1"/>
    <w:rsid w:val="004D34B2"/>
    <w:rsid w:val="004D3B0E"/>
    <w:rsid w:val="004D3E8F"/>
    <w:rsid w:val="004D4115"/>
    <w:rsid w:val="004D4826"/>
    <w:rsid w:val="004D4B94"/>
    <w:rsid w:val="004D4CD5"/>
    <w:rsid w:val="004D4EC8"/>
    <w:rsid w:val="004D5B82"/>
    <w:rsid w:val="004D65FE"/>
    <w:rsid w:val="004D6813"/>
    <w:rsid w:val="004D69AF"/>
    <w:rsid w:val="004D6A86"/>
    <w:rsid w:val="004D735F"/>
    <w:rsid w:val="004D755B"/>
    <w:rsid w:val="004E00EE"/>
    <w:rsid w:val="004E0436"/>
    <w:rsid w:val="004E089C"/>
    <w:rsid w:val="004E0AFC"/>
    <w:rsid w:val="004E0E6B"/>
    <w:rsid w:val="004E1224"/>
    <w:rsid w:val="004E132F"/>
    <w:rsid w:val="004E1817"/>
    <w:rsid w:val="004E216C"/>
    <w:rsid w:val="004E2378"/>
    <w:rsid w:val="004E28CB"/>
    <w:rsid w:val="004E2948"/>
    <w:rsid w:val="004E2A7D"/>
    <w:rsid w:val="004E397A"/>
    <w:rsid w:val="004E3CB0"/>
    <w:rsid w:val="004E49C4"/>
    <w:rsid w:val="004E530F"/>
    <w:rsid w:val="004E5653"/>
    <w:rsid w:val="004E57F0"/>
    <w:rsid w:val="004E598C"/>
    <w:rsid w:val="004E5CF7"/>
    <w:rsid w:val="004E6267"/>
    <w:rsid w:val="004E63F6"/>
    <w:rsid w:val="004E6DB3"/>
    <w:rsid w:val="004E71C8"/>
    <w:rsid w:val="004E7F0A"/>
    <w:rsid w:val="004F0A83"/>
    <w:rsid w:val="004F1073"/>
    <w:rsid w:val="004F17AB"/>
    <w:rsid w:val="004F26EE"/>
    <w:rsid w:val="004F2A32"/>
    <w:rsid w:val="004F2D36"/>
    <w:rsid w:val="004F2F68"/>
    <w:rsid w:val="004F31D2"/>
    <w:rsid w:val="004F33EB"/>
    <w:rsid w:val="004F3983"/>
    <w:rsid w:val="004F425D"/>
    <w:rsid w:val="004F488E"/>
    <w:rsid w:val="004F504C"/>
    <w:rsid w:val="004F52FB"/>
    <w:rsid w:val="004F57AC"/>
    <w:rsid w:val="004F5904"/>
    <w:rsid w:val="004F62A9"/>
    <w:rsid w:val="004F6A45"/>
    <w:rsid w:val="004F6B42"/>
    <w:rsid w:val="004F6E63"/>
    <w:rsid w:val="004F6F1B"/>
    <w:rsid w:val="004F77C6"/>
    <w:rsid w:val="004F7AA2"/>
    <w:rsid w:val="004F7AB7"/>
    <w:rsid w:val="005003B9"/>
    <w:rsid w:val="00500531"/>
    <w:rsid w:val="00500A0D"/>
    <w:rsid w:val="00500B23"/>
    <w:rsid w:val="00500C54"/>
    <w:rsid w:val="00500EBF"/>
    <w:rsid w:val="0050110F"/>
    <w:rsid w:val="0050118A"/>
    <w:rsid w:val="005011A2"/>
    <w:rsid w:val="0050143C"/>
    <w:rsid w:val="00501C10"/>
    <w:rsid w:val="0050246B"/>
    <w:rsid w:val="005036C0"/>
    <w:rsid w:val="00503C6B"/>
    <w:rsid w:val="00504294"/>
    <w:rsid w:val="00505130"/>
    <w:rsid w:val="005056BF"/>
    <w:rsid w:val="00505852"/>
    <w:rsid w:val="00505B5D"/>
    <w:rsid w:val="00505B65"/>
    <w:rsid w:val="00505C9C"/>
    <w:rsid w:val="005061C7"/>
    <w:rsid w:val="00506A5A"/>
    <w:rsid w:val="00507413"/>
    <w:rsid w:val="00507FF3"/>
    <w:rsid w:val="00510281"/>
    <w:rsid w:val="0051094A"/>
    <w:rsid w:val="00511142"/>
    <w:rsid w:val="005118D9"/>
    <w:rsid w:val="00511B59"/>
    <w:rsid w:val="00511B7B"/>
    <w:rsid w:val="0051261C"/>
    <w:rsid w:val="0051317D"/>
    <w:rsid w:val="00513303"/>
    <w:rsid w:val="00513551"/>
    <w:rsid w:val="005136D1"/>
    <w:rsid w:val="00513762"/>
    <w:rsid w:val="00513811"/>
    <w:rsid w:val="00513EB2"/>
    <w:rsid w:val="00513F9B"/>
    <w:rsid w:val="0051418E"/>
    <w:rsid w:val="005147D2"/>
    <w:rsid w:val="00514C33"/>
    <w:rsid w:val="00514F1E"/>
    <w:rsid w:val="00516276"/>
    <w:rsid w:val="00516297"/>
    <w:rsid w:val="0051634E"/>
    <w:rsid w:val="0051662C"/>
    <w:rsid w:val="0051676C"/>
    <w:rsid w:val="00516BA5"/>
    <w:rsid w:val="00516CE5"/>
    <w:rsid w:val="005171D3"/>
    <w:rsid w:val="00517B5F"/>
    <w:rsid w:val="00517D2F"/>
    <w:rsid w:val="00520356"/>
    <w:rsid w:val="005204E4"/>
    <w:rsid w:val="005204ED"/>
    <w:rsid w:val="005210C4"/>
    <w:rsid w:val="005215AB"/>
    <w:rsid w:val="00521A07"/>
    <w:rsid w:val="0052260E"/>
    <w:rsid w:val="00522E9D"/>
    <w:rsid w:val="0052304E"/>
    <w:rsid w:val="00523105"/>
    <w:rsid w:val="005234AA"/>
    <w:rsid w:val="005237A4"/>
    <w:rsid w:val="00523963"/>
    <w:rsid w:val="00523EDB"/>
    <w:rsid w:val="00525A6C"/>
    <w:rsid w:val="00526730"/>
    <w:rsid w:val="005274F0"/>
    <w:rsid w:val="00527569"/>
    <w:rsid w:val="00527A13"/>
    <w:rsid w:val="00527B69"/>
    <w:rsid w:val="00527BDA"/>
    <w:rsid w:val="00527D00"/>
    <w:rsid w:val="00527FD0"/>
    <w:rsid w:val="00531602"/>
    <w:rsid w:val="00532631"/>
    <w:rsid w:val="00532EB9"/>
    <w:rsid w:val="005331B7"/>
    <w:rsid w:val="0053372F"/>
    <w:rsid w:val="00533809"/>
    <w:rsid w:val="0053429D"/>
    <w:rsid w:val="005356B1"/>
    <w:rsid w:val="00536BE5"/>
    <w:rsid w:val="00536EE5"/>
    <w:rsid w:val="005378C0"/>
    <w:rsid w:val="0054026E"/>
    <w:rsid w:val="005402CC"/>
    <w:rsid w:val="005404C3"/>
    <w:rsid w:val="00540783"/>
    <w:rsid w:val="00540B0A"/>
    <w:rsid w:val="00541A80"/>
    <w:rsid w:val="0054213F"/>
    <w:rsid w:val="00542C36"/>
    <w:rsid w:val="00542D16"/>
    <w:rsid w:val="00542FEB"/>
    <w:rsid w:val="0054399F"/>
    <w:rsid w:val="00543C44"/>
    <w:rsid w:val="00543E1B"/>
    <w:rsid w:val="00543E2E"/>
    <w:rsid w:val="0054437A"/>
    <w:rsid w:val="00544924"/>
    <w:rsid w:val="00544C89"/>
    <w:rsid w:val="00544E36"/>
    <w:rsid w:val="00545350"/>
    <w:rsid w:val="0054539B"/>
    <w:rsid w:val="005453AD"/>
    <w:rsid w:val="00545A8A"/>
    <w:rsid w:val="00545AA7"/>
    <w:rsid w:val="0054621F"/>
    <w:rsid w:val="00546448"/>
    <w:rsid w:val="00546574"/>
    <w:rsid w:val="00546670"/>
    <w:rsid w:val="00546995"/>
    <w:rsid w:val="005475AC"/>
    <w:rsid w:val="00547CF8"/>
    <w:rsid w:val="00547D04"/>
    <w:rsid w:val="00547D11"/>
    <w:rsid w:val="00550528"/>
    <w:rsid w:val="00550CCB"/>
    <w:rsid w:val="00550FA1"/>
    <w:rsid w:val="0055119F"/>
    <w:rsid w:val="00551284"/>
    <w:rsid w:val="00551520"/>
    <w:rsid w:val="00551F2C"/>
    <w:rsid w:val="0055275B"/>
    <w:rsid w:val="0055280B"/>
    <w:rsid w:val="00552D32"/>
    <w:rsid w:val="00553142"/>
    <w:rsid w:val="0055337F"/>
    <w:rsid w:val="00553CE5"/>
    <w:rsid w:val="00553F82"/>
    <w:rsid w:val="00554173"/>
    <w:rsid w:val="00554185"/>
    <w:rsid w:val="005544F2"/>
    <w:rsid w:val="00554753"/>
    <w:rsid w:val="0055490B"/>
    <w:rsid w:val="00555201"/>
    <w:rsid w:val="005554B3"/>
    <w:rsid w:val="005555A5"/>
    <w:rsid w:val="00555AC4"/>
    <w:rsid w:val="00556EEA"/>
    <w:rsid w:val="0055704D"/>
    <w:rsid w:val="00557335"/>
    <w:rsid w:val="0055786F"/>
    <w:rsid w:val="005578EF"/>
    <w:rsid w:val="005579A9"/>
    <w:rsid w:val="005579E1"/>
    <w:rsid w:val="00557D15"/>
    <w:rsid w:val="00560A17"/>
    <w:rsid w:val="00560A23"/>
    <w:rsid w:val="00561B5D"/>
    <w:rsid w:val="00561F4D"/>
    <w:rsid w:val="00562942"/>
    <w:rsid w:val="00562CAA"/>
    <w:rsid w:val="0056433E"/>
    <w:rsid w:val="00564BF9"/>
    <w:rsid w:val="00564EA3"/>
    <w:rsid w:val="005655C5"/>
    <w:rsid w:val="00565800"/>
    <w:rsid w:val="00565829"/>
    <w:rsid w:val="005658AA"/>
    <w:rsid w:val="00565DB5"/>
    <w:rsid w:val="0056623A"/>
    <w:rsid w:val="005663C7"/>
    <w:rsid w:val="005664CC"/>
    <w:rsid w:val="005670F3"/>
    <w:rsid w:val="00567488"/>
    <w:rsid w:val="00567C89"/>
    <w:rsid w:val="00567CA4"/>
    <w:rsid w:val="00570D8D"/>
    <w:rsid w:val="00571089"/>
    <w:rsid w:val="00571622"/>
    <w:rsid w:val="005716DF"/>
    <w:rsid w:val="00571D35"/>
    <w:rsid w:val="005724CB"/>
    <w:rsid w:val="005733CE"/>
    <w:rsid w:val="005739BA"/>
    <w:rsid w:val="00574E29"/>
    <w:rsid w:val="00575357"/>
    <w:rsid w:val="00575C1E"/>
    <w:rsid w:val="00576406"/>
    <w:rsid w:val="00576A90"/>
    <w:rsid w:val="005773F5"/>
    <w:rsid w:val="00577BC1"/>
    <w:rsid w:val="00577EFB"/>
    <w:rsid w:val="00580094"/>
    <w:rsid w:val="00580149"/>
    <w:rsid w:val="00580588"/>
    <w:rsid w:val="005805DC"/>
    <w:rsid w:val="00581610"/>
    <w:rsid w:val="005817BC"/>
    <w:rsid w:val="0058269F"/>
    <w:rsid w:val="00582767"/>
    <w:rsid w:val="00582AA3"/>
    <w:rsid w:val="00582B4B"/>
    <w:rsid w:val="00582F8A"/>
    <w:rsid w:val="00583218"/>
    <w:rsid w:val="00583408"/>
    <w:rsid w:val="00583CB2"/>
    <w:rsid w:val="00583D25"/>
    <w:rsid w:val="00583FC9"/>
    <w:rsid w:val="00584053"/>
    <w:rsid w:val="005840E8"/>
    <w:rsid w:val="0058450F"/>
    <w:rsid w:val="00584856"/>
    <w:rsid w:val="00584D88"/>
    <w:rsid w:val="00584D99"/>
    <w:rsid w:val="00584F18"/>
    <w:rsid w:val="00585182"/>
    <w:rsid w:val="00585311"/>
    <w:rsid w:val="00585853"/>
    <w:rsid w:val="005859C3"/>
    <w:rsid w:val="00585A4E"/>
    <w:rsid w:val="00586060"/>
    <w:rsid w:val="00586373"/>
    <w:rsid w:val="00586C86"/>
    <w:rsid w:val="00586F87"/>
    <w:rsid w:val="0058786E"/>
    <w:rsid w:val="00590006"/>
    <w:rsid w:val="005900D3"/>
    <w:rsid w:val="0059022F"/>
    <w:rsid w:val="005903CE"/>
    <w:rsid w:val="005906A6"/>
    <w:rsid w:val="00590B03"/>
    <w:rsid w:val="00590CD9"/>
    <w:rsid w:val="00591AB5"/>
    <w:rsid w:val="00591F4A"/>
    <w:rsid w:val="00591F81"/>
    <w:rsid w:val="0059285B"/>
    <w:rsid w:val="005936DD"/>
    <w:rsid w:val="005937DF"/>
    <w:rsid w:val="005938B7"/>
    <w:rsid w:val="005938CF"/>
    <w:rsid w:val="00593D29"/>
    <w:rsid w:val="00593F65"/>
    <w:rsid w:val="005940F1"/>
    <w:rsid w:val="005942B4"/>
    <w:rsid w:val="00594584"/>
    <w:rsid w:val="00594F2E"/>
    <w:rsid w:val="005958A2"/>
    <w:rsid w:val="005959AD"/>
    <w:rsid w:val="00595E5F"/>
    <w:rsid w:val="00595FA4"/>
    <w:rsid w:val="00596186"/>
    <w:rsid w:val="00596330"/>
    <w:rsid w:val="005963E4"/>
    <w:rsid w:val="00596B21"/>
    <w:rsid w:val="00597C0E"/>
    <w:rsid w:val="005A0089"/>
    <w:rsid w:val="005A02DE"/>
    <w:rsid w:val="005A05D5"/>
    <w:rsid w:val="005A076A"/>
    <w:rsid w:val="005A07A2"/>
    <w:rsid w:val="005A08F2"/>
    <w:rsid w:val="005A0A3E"/>
    <w:rsid w:val="005A1238"/>
    <w:rsid w:val="005A130D"/>
    <w:rsid w:val="005A16EF"/>
    <w:rsid w:val="005A1CE3"/>
    <w:rsid w:val="005A2288"/>
    <w:rsid w:val="005A22B8"/>
    <w:rsid w:val="005A2663"/>
    <w:rsid w:val="005A3162"/>
    <w:rsid w:val="005A359C"/>
    <w:rsid w:val="005A3738"/>
    <w:rsid w:val="005A3908"/>
    <w:rsid w:val="005A3996"/>
    <w:rsid w:val="005A3E27"/>
    <w:rsid w:val="005A40FE"/>
    <w:rsid w:val="005A4250"/>
    <w:rsid w:val="005A439C"/>
    <w:rsid w:val="005A44E8"/>
    <w:rsid w:val="005A463D"/>
    <w:rsid w:val="005A4761"/>
    <w:rsid w:val="005A48D2"/>
    <w:rsid w:val="005A582F"/>
    <w:rsid w:val="005A597B"/>
    <w:rsid w:val="005A5D2C"/>
    <w:rsid w:val="005A648B"/>
    <w:rsid w:val="005A6780"/>
    <w:rsid w:val="005A6C05"/>
    <w:rsid w:val="005A73FD"/>
    <w:rsid w:val="005A752A"/>
    <w:rsid w:val="005A7A12"/>
    <w:rsid w:val="005A7A9D"/>
    <w:rsid w:val="005B0166"/>
    <w:rsid w:val="005B0240"/>
    <w:rsid w:val="005B1130"/>
    <w:rsid w:val="005B1AB5"/>
    <w:rsid w:val="005B1EFD"/>
    <w:rsid w:val="005B25B6"/>
    <w:rsid w:val="005B2603"/>
    <w:rsid w:val="005B275A"/>
    <w:rsid w:val="005B38FE"/>
    <w:rsid w:val="005B4806"/>
    <w:rsid w:val="005B488D"/>
    <w:rsid w:val="005B4E8E"/>
    <w:rsid w:val="005B5510"/>
    <w:rsid w:val="005B558C"/>
    <w:rsid w:val="005B5730"/>
    <w:rsid w:val="005B5AAA"/>
    <w:rsid w:val="005B5B3F"/>
    <w:rsid w:val="005B5BD5"/>
    <w:rsid w:val="005B61B0"/>
    <w:rsid w:val="005B63B3"/>
    <w:rsid w:val="005B6B26"/>
    <w:rsid w:val="005B6CF6"/>
    <w:rsid w:val="005B6F3B"/>
    <w:rsid w:val="005B6FF4"/>
    <w:rsid w:val="005B6FFC"/>
    <w:rsid w:val="005C0327"/>
    <w:rsid w:val="005C080E"/>
    <w:rsid w:val="005C09AD"/>
    <w:rsid w:val="005C0E5F"/>
    <w:rsid w:val="005C1290"/>
    <w:rsid w:val="005C1385"/>
    <w:rsid w:val="005C1446"/>
    <w:rsid w:val="005C1485"/>
    <w:rsid w:val="005C1676"/>
    <w:rsid w:val="005C1683"/>
    <w:rsid w:val="005C17B7"/>
    <w:rsid w:val="005C1946"/>
    <w:rsid w:val="005C1BBB"/>
    <w:rsid w:val="005C1BEF"/>
    <w:rsid w:val="005C27F6"/>
    <w:rsid w:val="005C2B16"/>
    <w:rsid w:val="005C439D"/>
    <w:rsid w:val="005C47AF"/>
    <w:rsid w:val="005C4AFB"/>
    <w:rsid w:val="005C4EBF"/>
    <w:rsid w:val="005C564C"/>
    <w:rsid w:val="005C5880"/>
    <w:rsid w:val="005C5CE6"/>
    <w:rsid w:val="005C5E65"/>
    <w:rsid w:val="005C6280"/>
    <w:rsid w:val="005C6A09"/>
    <w:rsid w:val="005C6D31"/>
    <w:rsid w:val="005C72C0"/>
    <w:rsid w:val="005C75E4"/>
    <w:rsid w:val="005C76D6"/>
    <w:rsid w:val="005C7931"/>
    <w:rsid w:val="005C7BDC"/>
    <w:rsid w:val="005D019A"/>
    <w:rsid w:val="005D031D"/>
    <w:rsid w:val="005D1188"/>
    <w:rsid w:val="005D1679"/>
    <w:rsid w:val="005D1FE9"/>
    <w:rsid w:val="005D233E"/>
    <w:rsid w:val="005D297B"/>
    <w:rsid w:val="005D2EC8"/>
    <w:rsid w:val="005D3227"/>
    <w:rsid w:val="005D3723"/>
    <w:rsid w:val="005D3953"/>
    <w:rsid w:val="005D3BCF"/>
    <w:rsid w:val="005D4088"/>
    <w:rsid w:val="005D4151"/>
    <w:rsid w:val="005D418E"/>
    <w:rsid w:val="005D4E93"/>
    <w:rsid w:val="005D52E4"/>
    <w:rsid w:val="005D533F"/>
    <w:rsid w:val="005D5600"/>
    <w:rsid w:val="005D5A42"/>
    <w:rsid w:val="005D5AB5"/>
    <w:rsid w:val="005D5CC8"/>
    <w:rsid w:val="005D5E1F"/>
    <w:rsid w:val="005D5F1B"/>
    <w:rsid w:val="005D672E"/>
    <w:rsid w:val="005D772D"/>
    <w:rsid w:val="005D798C"/>
    <w:rsid w:val="005D7AE9"/>
    <w:rsid w:val="005D7E46"/>
    <w:rsid w:val="005E00B9"/>
    <w:rsid w:val="005E067F"/>
    <w:rsid w:val="005E0856"/>
    <w:rsid w:val="005E0BC6"/>
    <w:rsid w:val="005E0BE2"/>
    <w:rsid w:val="005E0FAC"/>
    <w:rsid w:val="005E1019"/>
    <w:rsid w:val="005E12DF"/>
    <w:rsid w:val="005E1317"/>
    <w:rsid w:val="005E131F"/>
    <w:rsid w:val="005E1CA7"/>
    <w:rsid w:val="005E2479"/>
    <w:rsid w:val="005E26B6"/>
    <w:rsid w:val="005E27F2"/>
    <w:rsid w:val="005E28CC"/>
    <w:rsid w:val="005E298F"/>
    <w:rsid w:val="005E3267"/>
    <w:rsid w:val="005E34C6"/>
    <w:rsid w:val="005E3773"/>
    <w:rsid w:val="005E3A25"/>
    <w:rsid w:val="005E471C"/>
    <w:rsid w:val="005E4976"/>
    <w:rsid w:val="005E4B98"/>
    <w:rsid w:val="005E4C90"/>
    <w:rsid w:val="005E4E85"/>
    <w:rsid w:val="005E4E9E"/>
    <w:rsid w:val="005E5233"/>
    <w:rsid w:val="005E54FB"/>
    <w:rsid w:val="005E55C8"/>
    <w:rsid w:val="005E593E"/>
    <w:rsid w:val="005E5D42"/>
    <w:rsid w:val="005E6065"/>
    <w:rsid w:val="005E67B6"/>
    <w:rsid w:val="005E6C7D"/>
    <w:rsid w:val="005E6CD9"/>
    <w:rsid w:val="005E6E34"/>
    <w:rsid w:val="005E6E70"/>
    <w:rsid w:val="005E760E"/>
    <w:rsid w:val="005E766D"/>
    <w:rsid w:val="005E76F9"/>
    <w:rsid w:val="005E7CCC"/>
    <w:rsid w:val="005F07C3"/>
    <w:rsid w:val="005F0C6B"/>
    <w:rsid w:val="005F0E11"/>
    <w:rsid w:val="005F0FDC"/>
    <w:rsid w:val="005F161B"/>
    <w:rsid w:val="005F17A1"/>
    <w:rsid w:val="005F1F7F"/>
    <w:rsid w:val="005F23E4"/>
    <w:rsid w:val="005F2DC9"/>
    <w:rsid w:val="005F2ECE"/>
    <w:rsid w:val="005F34F1"/>
    <w:rsid w:val="005F390A"/>
    <w:rsid w:val="005F39B8"/>
    <w:rsid w:val="005F420C"/>
    <w:rsid w:val="005F47B5"/>
    <w:rsid w:val="005F4975"/>
    <w:rsid w:val="005F5C18"/>
    <w:rsid w:val="005F5FEE"/>
    <w:rsid w:val="005F6D9C"/>
    <w:rsid w:val="005F6FA4"/>
    <w:rsid w:val="005F7425"/>
    <w:rsid w:val="005F782B"/>
    <w:rsid w:val="005F7FD2"/>
    <w:rsid w:val="006000A8"/>
    <w:rsid w:val="00600276"/>
    <w:rsid w:val="0060065D"/>
    <w:rsid w:val="006009E1"/>
    <w:rsid w:val="00601317"/>
    <w:rsid w:val="006016AE"/>
    <w:rsid w:val="006018BC"/>
    <w:rsid w:val="00601B58"/>
    <w:rsid w:val="00601F7C"/>
    <w:rsid w:val="00602578"/>
    <w:rsid w:val="006028F7"/>
    <w:rsid w:val="00602FBC"/>
    <w:rsid w:val="00603088"/>
    <w:rsid w:val="006034A6"/>
    <w:rsid w:val="0060384F"/>
    <w:rsid w:val="00603B40"/>
    <w:rsid w:val="00603F8D"/>
    <w:rsid w:val="006040E5"/>
    <w:rsid w:val="00604978"/>
    <w:rsid w:val="00604EB5"/>
    <w:rsid w:val="00604FC2"/>
    <w:rsid w:val="006053AE"/>
    <w:rsid w:val="006057E1"/>
    <w:rsid w:val="0060642C"/>
    <w:rsid w:val="006064A8"/>
    <w:rsid w:val="006068BE"/>
    <w:rsid w:val="00606986"/>
    <w:rsid w:val="00606F0C"/>
    <w:rsid w:val="006072AD"/>
    <w:rsid w:val="0060733E"/>
    <w:rsid w:val="006079EE"/>
    <w:rsid w:val="00610B6C"/>
    <w:rsid w:val="006112F4"/>
    <w:rsid w:val="00611CF1"/>
    <w:rsid w:val="00612280"/>
    <w:rsid w:val="00612C6E"/>
    <w:rsid w:val="00612D4D"/>
    <w:rsid w:val="00613025"/>
    <w:rsid w:val="006133FF"/>
    <w:rsid w:val="00613C86"/>
    <w:rsid w:val="00613F0B"/>
    <w:rsid w:val="00614383"/>
    <w:rsid w:val="006143A7"/>
    <w:rsid w:val="0061463A"/>
    <w:rsid w:val="0061489B"/>
    <w:rsid w:val="00615A63"/>
    <w:rsid w:val="00615AD9"/>
    <w:rsid w:val="00615E84"/>
    <w:rsid w:val="006166DC"/>
    <w:rsid w:val="006168F0"/>
    <w:rsid w:val="0061733B"/>
    <w:rsid w:val="006173B8"/>
    <w:rsid w:val="006175BA"/>
    <w:rsid w:val="006176C8"/>
    <w:rsid w:val="00617909"/>
    <w:rsid w:val="00620372"/>
    <w:rsid w:val="00620756"/>
    <w:rsid w:val="00620E94"/>
    <w:rsid w:val="00620EAF"/>
    <w:rsid w:val="0062173E"/>
    <w:rsid w:val="0062176F"/>
    <w:rsid w:val="00621BE3"/>
    <w:rsid w:val="006231D1"/>
    <w:rsid w:val="00623BE5"/>
    <w:rsid w:val="00623FD9"/>
    <w:rsid w:val="006245BC"/>
    <w:rsid w:val="00624A22"/>
    <w:rsid w:val="0062524F"/>
    <w:rsid w:val="006252B8"/>
    <w:rsid w:val="006255F3"/>
    <w:rsid w:val="00625959"/>
    <w:rsid w:val="00625A0D"/>
    <w:rsid w:val="00625A44"/>
    <w:rsid w:val="006261B3"/>
    <w:rsid w:val="006263C5"/>
    <w:rsid w:val="00627004"/>
    <w:rsid w:val="0062740D"/>
    <w:rsid w:val="006274B7"/>
    <w:rsid w:val="00627581"/>
    <w:rsid w:val="00627715"/>
    <w:rsid w:val="00630045"/>
    <w:rsid w:val="00630940"/>
    <w:rsid w:val="0063164C"/>
    <w:rsid w:val="006319CC"/>
    <w:rsid w:val="00631DE4"/>
    <w:rsid w:val="00632180"/>
    <w:rsid w:val="0063219F"/>
    <w:rsid w:val="0063220D"/>
    <w:rsid w:val="0063247A"/>
    <w:rsid w:val="00632B42"/>
    <w:rsid w:val="006330CC"/>
    <w:rsid w:val="0063332F"/>
    <w:rsid w:val="0063352A"/>
    <w:rsid w:val="00633847"/>
    <w:rsid w:val="006339DB"/>
    <w:rsid w:val="00633A5B"/>
    <w:rsid w:val="00633F53"/>
    <w:rsid w:val="00634392"/>
    <w:rsid w:val="006346B2"/>
    <w:rsid w:val="00634C2C"/>
    <w:rsid w:val="00634C2D"/>
    <w:rsid w:val="0063518A"/>
    <w:rsid w:val="00635520"/>
    <w:rsid w:val="0063584B"/>
    <w:rsid w:val="00635B88"/>
    <w:rsid w:val="00635DDD"/>
    <w:rsid w:val="0063639F"/>
    <w:rsid w:val="006363AC"/>
    <w:rsid w:val="00636D21"/>
    <w:rsid w:val="00636D75"/>
    <w:rsid w:val="00637033"/>
    <w:rsid w:val="0063709D"/>
    <w:rsid w:val="006372D4"/>
    <w:rsid w:val="00637C9A"/>
    <w:rsid w:val="006401B8"/>
    <w:rsid w:val="00640296"/>
    <w:rsid w:val="006405F0"/>
    <w:rsid w:val="006406AA"/>
    <w:rsid w:val="00640903"/>
    <w:rsid w:val="00640F59"/>
    <w:rsid w:val="00641257"/>
    <w:rsid w:val="006412B2"/>
    <w:rsid w:val="00641886"/>
    <w:rsid w:val="00641984"/>
    <w:rsid w:val="0064198E"/>
    <w:rsid w:val="00641BD8"/>
    <w:rsid w:val="00642362"/>
    <w:rsid w:val="006427A2"/>
    <w:rsid w:val="00642BD3"/>
    <w:rsid w:val="00642EF8"/>
    <w:rsid w:val="00643034"/>
    <w:rsid w:val="0064311C"/>
    <w:rsid w:val="00644083"/>
    <w:rsid w:val="00644BF2"/>
    <w:rsid w:val="00644E0F"/>
    <w:rsid w:val="006451A4"/>
    <w:rsid w:val="00645284"/>
    <w:rsid w:val="0064561D"/>
    <w:rsid w:val="00645C8E"/>
    <w:rsid w:val="00645D17"/>
    <w:rsid w:val="00646519"/>
    <w:rsid w:val="006467BA"/>
    <w:rsid w:val="006468B8"/>
    <w:rsid w:val="00646E8B"/>
    <w:rsid w:val="00650113"/>
    <w:rsid w:val="006502AD"/>
    <w:rsid w:val="00650560"/>
    <w:rsid w:val="00651D1B"/>
    <w:rsid w:val="00651D45"/>
    <w:rsid w:val="0065283D"/>
    <w:rsid w:val="00652DCD"/>
    <w:rsid w:val="00652EE8"/>
    <w:rsid w:val="0065307A"/>
    <w:rsid w:val="00653232"/>
    <w:rsid w:val="0065341E"/>
    <w:rsid w:val="006536A6"/>
    <w:rsid w:val="00653836"/>
    <w:rsid w:val="006538C3"/>
    <w:rsid w:val="00653A04"/>
    <w:rsid w:val="006548E8"/>
    <w:rsid w:val="00655B55"/>
    <w:rsid w:val="0065712C"/>
    <w:rsid w:val="006571D6"/>
    <w:rsid w:val="0066011E"/>
    <w:rsid w:val="00660C27"/>
    <w:rsid w:val="0066107E"/>
    <w:rsid w:val="006610BF"/>
    <w:rsid w:val="00661F76"/>
    <w:rsid w:val="00662C6E"/>
    <w:rsid w:val="00662FFF"/>
    <w:rsid w:val="0066310E"/>
    <w:rsid w:val="00663150"/>
    <w:rsid w:val="006639D1"/>
    <w:rsid w:val="00663F09"/>
    <w:rsid w:val="00664A0A"/>
    <w:rsid w:val="00664AD8"/>
    <w:rsid w:val="00664D2D"/>
    <w:rsid w:val="00664DCA"/>
    <w:rsid w:val="00665463"/>
    <w:rsid w:val="006654CB"/>
    <w:rsid w:val="006655DD"/>
    <w:rsid w:val="00665940"/>
    <w:rsid w:val="00665A11"/>
    <w:rsid w:val="00665C93"/>
    <w:rsid w:val="00665EB7"/>
    <w:rsid w:val="00665FE7"/>
    <w:rsid w:val="0066603B"/>
    <w:rsid w:val="0066697B"/>
    <w:rsid w:val="00666AB0"/>
    <w:rsid w:val="00666C7A"/>
    <w:rsid w:val="00666E8B"/>
    <w:rsid w:val="00666F25"/>
    <w:rsid w:val="006676AC"/>
    <w:rsid w:val="006706B8"/>
    <w:rsid w:val="00670873"/>
    <w:rsid w:val="00670BD0"/>
    <w:rsid w:val="00670E4E"/>
    <w:rsid w:val="0067120F"/>
    <w:rsid w:val="0067147B"/>
    <w:rsid w:val="00671719"/>
    <w:rsid w:val="006720ED"/>
    <w:rsid w:val="006721EB"/>
    <w:rsid w:val="0067255B"/>
    <w:rsid w:val="0067268F"/>
    <w:rsid w:val="00672841"/>
    <w:rsid w:val="00672EDF"/>
    <w:rsid w:val="006730DA"/>
    <w:rsid w:val="00673761"/>
    <w:rsid w:val="006737D6"/>
    <w:rsid w:val="00673AE4"/>
    <w:rsid w:val="00673EBF"/>
    <w:rsid w:val="0067444D"/>
    <w:rsid w:val="0067451A"/>
    <w:rsid w:val="0067479A"/>
    <w:rsid w:val="00675273"/>
    <w:rsid w:val="00675499"/>
    <w:rsid w:val="00675658"/>
    <w:rsid w:val="00675B0F"/>
    <w:rsid w:val="00675C74"/>
    <w:rsid w:val="00675CC0"/>
    <w:rsid w:val="00675CF0"/>
    <w:rsid w:val="006764F6"/>
    <w:rsid w:val="0067683F"/>
    <w:rsid w:val="00676940"/>
    <w:rsid w:val="0067695A"/>
    <w:rsid w:val="00676AC3"/>
    <w:rsid w:val="00677461"/>
    <w:rsid w:val="006777CC"/>
    <w:rsid w:val="00677921"/>
    <w:rsid w:val="00677E95"/>
    <w:rsid w:val="00680072"/>
    <w:rsid w:val="006805F4"/>
    <w:rsid w:val="0068065A"/>
    <w:rsid w:val="00680F20"/>
    <w:rsid w:val="00681CDC"/>
    <w:rsid w:val="0068248F"/>
    <w:rsid w:val="0068294C"/>
    <w:rsid w:val="006829FF"/>
    <w:rsid w:val="00682CC8"/>
    <w:rsid w:val="00683184"/>
    <w:rsid w:val="00683612"/>
    <w:rsid w:val="00684245"/>
    <w:rsid w:val="00684363"/>
    <w:rsid w:val="00684512"/>
    <w:rsid w:val="00684C1D"/>
    <w:rsid w:val="00684F3E"/>
    <w:rsid w:val="00685355"/>
    <w:rsid w:val="006854FB"/>
    <w:rsid w:val="00686072"/>
    <w:rsid w:val="0068656E"/>
    <w:rsid w:val="00686703"/>
    <w:rsid w:val="00686C6C"/>
    <w:rsid w:val="00687625"/>
    <w:rsid w:val="006876D9"/>
    <w:rsid w:val="00687862"/>
    <w:rsid w:val="0068799A"/>
    <w:rsid w:val="00687B3E"/>
    <w:rsid w:val="00687E0F"/>
    <w:rsid w:val="00690A09"/>
    <w:rsid w:val="00690AB4"/>
    <w:rsid w:val="00690E77"/>
    <w:rsid w:val="00690E7E"/>
    <w:rsid w:val="00691470"/>
    <w:rsid w:val="00691680"/>
    <w:rsid w:val="00691958"/>
    <w:rsid w:val="00691BCA"/>
    <w:rsid w:val="00691CB9"/>
    <w:rsid w:val="0069251A"/>
    <w:rsid w:val="00692983"/>
    <w:rsid w:val="00692ABD"/>
    <w:rsid w:val="00692B10"/>
    <w:rsid w:val="0069303A"/>
    <w:rsid w:val="006932FD"/>
    <w:rsid w:val="00693326"/>
    <w:rsid w:val="0069335F"/>
    <w:rsid w:val="006936BC"/>
    <w:rsid w:val="0069389B"/>
    <w:rsid w:val="00693B0A"/>
    <w:rsid w:val="00693DB9"/>
    <w:rsid w:val="00694375"/>
    <w:rsid w:val="00694758"/>
    <w:rsid w:val="00694D73"/>
    <w:rsid w:val="00695004"/>
    <w:rsid w:val="006954F0"/>
    <w:rsid w:val="0069558D"/>
    <w:rsid w:val="0069558F"/>
    <w:rsid w:val="00695631"/>
    <w:rsid w:val="00695BC5"/>
    <w:rsid w:val="00695C8D"/>
    <w:rsid w:val="00696917"/>
    <w:rsid w:val="006969FE"/>
    <w:rsid w:val="00696C34"/>
    <w:rsid w:val="00697068"/>
    <w:rsid w:val="006973DE"/>
    <w:rsid w:val="00697473"/>
    <w:rsid w:val="006974E3"/>
    <w:rsid w:val="00697688"/>
    <w:rsid w:val="006976FE"/>
    <w:rsid w:val="006A0064"/>
    <w:rsid w:val="006A039F"/>
    <w:rsid w:val="006A067D"/>
    <w:rsid w:val="006A0B02"/>
    <w:rsid w:val="006A0F70"/>
    <w:rsid w:val="006A1176"/>
    <w:rsid w:val="006A162A"/>
    <w:rsid w:val="006A1E9E"/>
    <w:rsid w:val="006A2C84"/>
    <w:rsid w:val="006A2DF8"/>
    <w:rsid w:val="006A2FCB"/>
    <w:rsid w:val="006A33B2"/>
    <w:rsid w:val="006A3712"/>
    <w:rsid w:val="006A3884"/>
    <w:rsid w:val="006A38AD"/>
    <w:rsid w:val="006A41C1"/>
    <w:rsid w:val="006A4799"/>
    <w:rsid w:val="006A48A1"/>
    <w:rsid w:val="006A5233"/>
    <w:rsid w:val="006A603B"/>
    <w:rsid w:val="006A629A"/>
    <w:rsid w:val="006A62D5"/>
    <w:rsid w:val="006A6C46"/>
    <w:rsid w:val="006A77E5"/>
    <w:rsid w:val="006A7CB9"/>
    <w:rsid w:val="006B003A"/>
    <w:rsid w:val="006B026F"/>
    <w:rsid w:val="006B0EC9"/>
    <w:rsid w:val="006B107F"/>
    <w:rsid w:val="006B1CCD"/>
    <w:rsid w:val="006B1E7A"/>
    <w:rsid w:val="006B284A"/>
    <w:rsid w:val="006B2A78"/>
    <w:rsid w:val="006B31FD"/>
    <w:rsid w:val="006B37C8"/>
    <w:rsid w:val="006B3D2B"/>
    <w:rsid w:val="006B3E31"/>
    <w:rsid w:val="006B41B8"/>
    <w:rsid w:val="006B4875"/>
    <w:rsid w:val="006B48F4"/>
    <w:rsid w:val="006B509F"/>
    <w:rsid w:val="006B5134"/>
    <w:rsid w:val="006B590F"/>
    <w:rsid w:val="006B63CC"/>
    <w:rsid w:val="006B64EB"/>
    <w:rsid w:val="006B6758"/>
    <w:rsid w:val="006B6C8F"/>
    <w:rsid w:val="006B6CA9"/>
    <w:rsid w:val="006B72F0"/>
    <w:rsid w:val="006B7E9D"/>
    <w:rsid w:val="006C02C2"/>
    <w:rsid w:val="006C04D9"/>
    <w:rsid w:val="006C04F4"/>
    <w:rsid w:val="006C0638"/>
    <w:rsid w:val="006C063D"/>
    <w:rsid w:val="006C0A8B"/>
    <w:rsid w:val="006C0B7C"/>
    <w:rsid w:val="006C14C4"/>
    <w:rsid w:val="006C14D2"/>
    <w:rsid w:val="006C163C"/>
    <w:rsid w:val="006C1D70"/>
    <w:rsid w:val="006C2316"/>
    <w:rsid w:val="006C23FA"/>
    <w:rsid w:val="006C2D37"/>
    <w:rsid w:val="006C2F2E"/>
    <w:rsid w:val="006C305B"/>
    <w:rsid w:val="006C31EB"/>
    <w:rsid w:val="006C33C2"/>
    <w:rsid w:val="006C344B"/>
    <w:rsid w:val="006C3497"/>
    <w:rsid w:val="006C37A9"/>
    <w:rsid w:val="006C37B0"/>
    <w:rsid w:val="006C3A6C"/>
    <w:rsid w:val="006C3EBA"/>
    <w:rsid w:val="006C3FD8"/>
    <w:rsid w:val="006C4032"/>
    <w:rsid w:val="006C4735"/>
    <w:rsid w:val="006C4D41"/>
    <w:rsid w:val="006C4DA8"/>
    <w:rsid w:val="006C56AF"/>
    <w:rsid w:val="006C59A8"/>
    <w:rsid w:val="006C5EFB"/>
    <w:rsid w:val="006C627A"/>
    <w:rsid w:val="006C746E"/>
    <w:rsid w:val="006C75FC"/>
    <w:rsid w:val="006D0059"/>
    <w:rsid w:val="006D0DC0"/>
    <w:rsid w:val="006D13D2"/>
    <w:rsid w:val="006D1665"/>
    <w:rsid w:val="006D1AD2"/>
    <w:rsid w:val="006D1AF6"/>
    <w:rsid w:val="006D1CDE"/>
    <w:rsid w:val="006D1DE9"/>
    <w:rsid w:val="006D1F81"/>
    <w:rsid w:val="006D2265"/>
    <w:rsid w:val="006D26D6"/>
    <w:rsid w:val="006D3241"/>
    <w:rsid w:val="006D3CB1"/>
    <w:rsid w:val="006D4142"/>
    <w:rsid w:val="006D42E8"/>
    <w:rsid w:val="006D4514"/>
    <w:rsid w:val="006D48EB"/>
    <w:rsid w:val="006D5029"/>
    <w:rsid w:val="006D526E"/>
    <w:rsid w:val="006D53FF"/>
    <w:rsid w:val="006D58ED"/>
    <w:rsid w:val="006D6268"/>
    <w:rsid w:val="006D6671"/>
    <w:rsid w:val="006D6D53"/>
    <w:rsid w:val="006D6D7F"/>
    <w:rsid w:val="006D6DF8"/>
    <w:rsid w:val="006D7CA8"/>
    <w:rsid w:val="006D7DF9"/>
    <w:rsid w:val="006E0055"/>
    <w:rsid w:val="006E0497"/>
    <w:rsid w:val="006E0CBA"/>
    <w:rsid w:val="006E166C"/>
    <w:rsid w:val="006E1699"/>
    <w:rsid w:val="006E16FE"/>
    <w:rsid w:val="006E1D04"/>
    <w:rsid w:val="006E20CF"/>
    <w:rsid w:val="006E21AD"/>
    <w:rsid w:val="006E2361"/>
    <w:rsid w:val="006E2429"/>
    <w:rsid w:val="006E2785"/>
    <w:rsid w:val="006E2AA9"/>
    <w:rsid w:val="006E2CA7"/>
    <w:rsid w:val="006E2EF0"/>
    <w:rsid w:val="006E2F7D"/>
    <w:rsid w:val="006E32C1"/>
    <w:rsid w:val="006E35CF"/>
    <w:rsid w:val="006E3C37"/>
    <w:rsid w:val="006E41A2"/>
    <w:rsid w:val="006E47FB"/>
    <w:rsid w:val="006E55FD"/>
    <w:rsid w:val="006E5A83"/>
    <w:rsid w:val="006E5E11"/>
    <w:rsid w:val="006E616C"/>
    <w:rsid w:val="006E6814"/>
    <w:rsid w:val="006E6A02"/>
    <w:rsid w:val="006E6AF7"/>
    <w:rsid w:val="006E78E4"/>
    <w:rsid w:val="006E7D94"/>
    <w:rsid w:val="006E7EFC"/>
    <w:rsid w:val="006F09C1"/>
    <w:rsid w:val="006F0C4A"/>
    <w:rsid w:val="006F0D43"/>
    <w:rsid w:val="006F0D7D"/>
    <w:rsid w:val="006F0DA0"/>
    <w:rsid w:val="006F13A5"/>
    <w:rsid w:val="006F16BD"/>
    <w:rsid w:val="006F1989"/>
    <w:rsid w:val="006F2206"/>
    <w:rsid w:val="006F2692"/>
    <w:rsid w:val="006F3A59"/>
    <w:rsid w:val="006F45DB"/>
    <w:rsid w:val="006F4766"/>
    <w:rsid w:val="006F4E34"/>
    <w:rsid w:val="006F54CE"/>
    <w:rsid w:val="006F5558"/>
    <w:rsid w:val="006F6019"/>
    <w:rsid w:val="006F61AE"/>
    <w:rsid w:val="006F62DC"/>
    <w:rsid w:val="006F6418"/>
    <w:rsid w:val="006F6BDE"/>
    <w:rsid w:val="006F747A"/>
    <w:rsid w:val="006F767B"/>
    <w:rsid w:val="006F7876"/>
    <w:rsid w:val="00700A02"/>
    <w:rsid w:val="00700A23"/>
    <w:rsid w:val="007012D0"/>
    <w:rsid w:val="007014FF"/>
    <w:rsid w:val="00701B11"/>
    <w:rsid w:val="00701B7E"/>
    <w:rsid w:val="00701FEA"/>
    <w:rsid w:val="00702266"/>
    <w:rsid w:val="0070253D"/>
    <w:rsid w:val="007025CD"/>
    <w:rsid w:val="0070292D"/>
    <w:rsid w:val="00702B04"/>
    <w:rsid w:val="00702CC6"/>
    <w:rsid w:val="007031BE"/>
    <w:rsid w:val="007037CD"/>
    <w:rsid w:val="00703D77"/>
    <w:rsid w:val="00703F4D"/>
    <w:rsid w:val="007048D2"/>
    <w:rsid w:val="007054D3"/>
    <w:rsid w:val="00705D13"/>
    <w:rsid w:val="00705D4E"/>
    <w:rsid w:val="00706243"/>
    <w:rsid w:val="007069F0"/>
    <w:rsid w:val="00707181"/>
    <w:rsid w:val="007072A3"/>
    <w:rsid w:val="00707680"/>
    <w:rsid w:val="00707C10"/>
    <w:rsid w:val="00707F87"/>
    <w:rsid w:val="00710240"/>
    <w:rsid w:val="00710F12"/>
    <w:rsid w:val="00711865"/>
    <w:rsid w:val="007118C1"/>
    <w:rsid w:val="00712C5A"/>
    <w:rsid w:val="00713042"/>
    <w:rsid w:val="00713157"/>
    <w:rsid w:val="0071357D"/>
    <w:rsid w:val="00713608"/>
    <w:rsid w:val="007138EE"/>
    <w:rsid w:val="00713FFE"/>
    <w:rsid w:val="007144C6"/>
    <w:rsid w:val="00714EC1"/>
    <w:rsid w:val="00715B19"/>
    <w:rsid w:val="00715D50"/>
    <w:rsid w:val="00715FFA"/>
    <w:rsid w:val="0071650D"/>
    <w:rsid w:val="007166C2"/>
    <w:rsid w:val="00717447"/>
    <w:rsid w:val="00717CCE"/>
    <w:rsid w:val="00717D47"/>
    <w:rsid w:val="00717E82"/>
    <w:rsid w:val="00717EA6"/>
    <w:rsid w:val="00720038"/>
    <w:rsid w:val="007207F5"/>
    <w:rsid w:val="0072093B"/>
    <w:rsid w:val="00720ACC"/>
    <w:rsid w:val="0072115E"/>
    <w:rsid w:val="007214E7"/>
    <w:rsid w:val="007217BE"/>
    <w:rsid w:val="00721D25"/>
    <w:rsid w:val="00721EAF"/>
    <w:rsid w:val="00722106"/>
    <w:rsid w:val="007226E7"/>
    <w:rsid w:val="00723580"/>
    <w:rsid w:val="00723DF7"/>
    <w:rsid w:val="00724274"/>
    <w:rsid w:val="0072440F"/>
    <w:rsid w:val="00724ED8"/>
    <w:rsid w:val="007251D3"/>
    <w:rsid w:val="00725222"/>
    <w:rsid w:val="00725281"/>
    <w:rsid w:val="00725B4F"/>
    <w:rsid w:val="0072608F"/>
    <w:rsid w:val="007268B1"/>
    <w:rsid w:val="00726BA9"/>
    <w:rsid w:val="00726CA7"/>
    <w:rsid w:val="00726D80"/>
    <w:rsid w:val="007272D2"/>
    <w:rsid w:val="00727B8B"/>
    <w:rsid w:val="0073048E"/>
    <w:rsid w:val="007305A1"/>
    <w:rsid w:val="00730675"/>
    <w:rsid w:val="00730809"/>
    <w:rsid w:val="00730BFD"/>
    <w:rsid w:val="00731016"/>
    <w:rsid w:val="0073118A"/>
    <w:rsid w:val="00731784"/>
    <w:rsid w:val="007325F0"/>
    <w:rsid w:val="007330B2"/>
    <w:rsid w:val="00733667"/>
    <w:rsid w:val="00733AD5"/>
    <w:rsid w:val="00734383"/>
    <w:rsid w:val="007344C5"/>
    <w:rsid w:val="00735AD4"/>
    <w:rsid w:val="00736E78"/>
    <w:rsid w:val="00736F4E"/>
    <w:rsid w:val="00737276"/>
    <w:rsid w:val="0073763B"/>
    <w:rsid w:val="00737829"/>
    <w:rsid w:val="00737B72"/>
    <w:rsid w:val="00737C04"/>
    <w:rsid w:val="00737C5F"/>
    <w:rsid w:val="00740611"/>
    <w:rsid w:val="00740B90"/>
    <w:rsid w:val="00740C95"/>
    <w:rsid w:val="00740F32"/>
    <w:rsid w:val="00741842"/>
    <w:rsid w:val="0074234C"/>
    <w:rsid w:val="0074271C"/>
    <w:rsid w:val="00742E43"/>
    <w:rsid w:val="00744026"/>
    <w:rsid w:val="0074431F"/>
    <w:rsid w:val="007455D6"/>
    <w:rsid w:val="00745726"/>
    <w:rsid w:val="0074624B"/>
    <w:rsid w:val="007466E3"/>
    <w:rsid w:val="007467C3"/>
    <w:rsid w:val="00746AAD"/>
    <w:rsid w:val="00746E9D"/>
    <w:rsid w:val="00747719"/>
    <w:rsid w:val="007501B3"/>
    <w:rsid w:val="00750322"/>
    <w:rsid w:val="007503B2"/>
    <w:rsid w:val="0075040A"/>
    <w:rsid w:val="007508B4"/>
    <w:rsid w:val="00750944"/>
    <w:rsid w:val="00750C0F"/>
    <w:rsid w:val="00750D8B"/>
    <w:rsid w:val="00750F0E"/>
    <w:rsid w:val="007517E7"/>
    <w:rsid w:val="007518E1"/>
    <w:rsid w:val="00751997"/>
    <w:rsid w:val="00751B5B"/>
    <w:rsid w:val="007520DB"/>
    <w:rsid w:val="00752111"/>
    <w:rsid w:val="0075249E"/>
    <w:rsid w:val="0075285C"/>
    <w:rsid w:val="00752969"/>
    <w:rsid w:val="00752BAC"/>
    <w:rsid w:val="00752CE0"/>
    <w:rsid w:val="00753128"/>
    <w:rsid w:val="00753465"/>
    <w:rsid w:val="007534AF"/>
    <w:rsid w:val="00753F12"/>
    <w:rsid w:val="00754203"/>
    <w:rsid w:val="00754581"/>
    <w:rsid w:val="00754BF1"/>
    <w:rsid w:val="00754CB1"/>
    <w:rsid w:val="00754EBD"/>
    <w:rsid w:val="00755063"/>
    <w:rsid w:val="00755064"/>
    <w:rsid w:val="0075548F"/>
    <w:rsid w:val="00755A61"/>
    <w:rsid w:val="007560AB"/>
    <w:rsid w:val="007562C6"/>
    <w:rsid w:val="00756BDF"/>
    <w:rsid w:val="00757894"/>
    <w:rsid w:val="00757B02"/>
    <w:rsid w:val="007600A5"/>
    <w:rsid w:val="0076044A"/>
    <w:rsid w:val="007604CC"/>
    <w:rsid w:val="00760670"/>
    <w:rsid w:val="007609D5"/>
    <w:rsid w:val="00760EF4"/>
    <w:rsid w:val="0076129B"/>
    <w:rsid w:val="00761CE6"/>
    <w:rsid w:val="007624DE"/>
    <w:rsid w:val="007625CD"/>
    <w:rsid w:val="00762A9F"/>
    <w:rsid w:val="00762BB7"/>
    <w:rsid w:val="00762FB2"/>
    <w:rsid w:val="007635CD"/>
    <w:rsid w:val="007647F3"/>
    <w:rsid w:val="00764AC5"/>
    <w:rsid w:val="007652AA"/>
    <w:rsid w:val="0076539A"/>
    <w:rsid w:val="00765A18"/>
    <w:rsid w:val="007661A5"/>
    <w:rsid w:val="007663A6"/>
    <w:rsid w:val="0076714F"/>
    <w:rsid w:val="00767775"/>
    <w:rsid w:val="00767842"/>
    <w:rsid w:val="0076784D"/>
    <w:rsid w:val="00767B9A"/>
    <w:rsid w:val="00767BE5"/>
    <w:rsid w:val="00767E8A"/>
    <w:rsid w:val="0077011A"/>
    <w:rsid w:val="007703C8"/>
    <w:rsid w:val="00770CF1"/>
    <w:rsid w:val="007717EE"/>
    <w:rsid w:val="00771AC8"/>
    <w:rsid w:val="007723DF"/>
    <w:rsid w:val="0077273F"/>
    <w:rsid w:val="00772DA3"/>
    <w:rsid w:val="00772DBA"/>
    <w:rsid w:val="00772FA3"/>
    <w:rsid w:val="0077345D"/>
    <w:rsid w:val="00773912"/>
    <w:rsid w:val="00773941"/>
    <w:rsid w:val="00773E0A"/>
    <w:rsid w:val="00774CEE"/>
    <w:rsid w:val="00774E9C"/>
    <w:rsid w:val="007754D5"/>
    <w:rsid w:val="0077556E"/>
    <w:rsid w:val="00775716"/>
    <w:rsid w:val="007757A8"/>
    <w:rsid w:val="007757DE"/>
    <w:rsid w:val="00775B0E"/>
    <w:rsid w:val="00775FEB"/>
    <w:rsid w:val="00776040"/>
    <w:rsid w:val="007760B7"/>
    <w:rsid w:val="00776526"/>
    <w:rsid w:val="00776DC4"/>
    <w:rsid w:val="00777780"/>
    <w:rsid w:val="007810C9"/>
    <w:rsid w:val="00781512"/>
    <w:rsid w:val="007819B8"/>
    <w:rsid w:val="00781CA1"/>
    <w:rsid w:val="007827FE"/>
    <w:rsid w:val="007830B0"/>
    <w:rsid w:val="0078385E"/>
    <w:rsid w:val="00783947"/>
    <w:rsid w:val="00783A71"/>
    <w:rsid w:val="00783CF1"/>
    <w:rsid w:val="00783E98"/>
    <w:rsid w:val="00783F9C"/>
    <w:rsid w:val="00783F9E"/>
    <w:rsid w:val="0078438A"/>
    <w:rsid w:val="00784AEA"/>
    <w:rsid w:val="00784BEB"/>
    <w:rsid w:val="00784C2B"/>
    <w:rsid w:val="007854F7"/>
    <w:rsid w:val="00785938"/>
    <w:rsid w:val="00785C9C"/>
    <w:rsid w:val="0078617E"/>
    <w:rsid w:val="00786323"/>
    <w:rsid w:val="00786644"/>
    <w:rsid w:val="00787C02"/>
    <w:rsid w:val="007904A4"/>
    <w:rsid w:val="00790789"/>
    <w:rsid w:val="00791137"/>
    <w:rsid w:val="0079130B"/>
    <w:rsid w:val="00791473"/>
    <w:rsid w:val="007922A6"/>
    <w:rsid w:val="00792824"/>
    <w:rsid w:val="00792C94"/>
    <w:rsid w:val="00793031"/>
    <w:rsid w:val="007935ED"/>
    <w:rsid w:val="00793EC4"/>
    <w:rsid w:val="00794041"/>
    <w:rsid w:val="007945F2"/>
    <w:rsid w:val="00794999"/>
    <w:rsid w:val="00794CA4"/>
    <w:rsid w:val="00794D86"/>
    <w:rsid w:val="00795237"/>
    <w:rsid w:val="0079524D"/>
    <w:rsid w:val="007952A0"/>
    <w:rsid w:val="00795AB3"/>
    <w:rsid w:val="00795E5E"/>
    <w:rsid w:val="0079636F"/>
    <w:rsid w:val="00796DF9"/>
    <w:rsid w:val="00796F47"/>
    <w:rsid w:val="00796F65"/>
    <w:rsid w:val="00797405"/>
    <w:rsid w:val="0079761F"/>
    <w:rsid w:val="0079763B"/>
    <w:rsid w:val="00797FE2"/>
    <w:rsid w:val="007A0A11"/>
    <w:rsid w:val="007A104D"/>
    <w:rsid w:val="007A124E"/>
    <w:rsid w:val="007A132A"/>
    <w:rsid w:val="007A1A68"/>
    <w:rsid w:val="007A2291"/>
    <w:rsid w:val="007A2395"/>
    <w:rsid w:val="007A252A"/>
    <w:rsid w:val="007A276A"/>
    <w:rsid w:val="007A3110"/>
    <w:rsid w:val="007A33D7"/>
    <w:rsid w:val="007A3732"/>
    <w:rsid w:val="007A39EC"/>
    <w:rsid w:val="007A3BC9"/>
    <w:rsid w:val="007A4579"/>
    <w:rsid w:val="007A48D8"/>
    <w:rsid w:val="007A4C4C"/>
    <w:rsid w:val="007A4E26"/>
    <w:rsid w:val="007A594D"/>
    <w:rsid w:val="007A5BB8"/>
    <w:rsid w:val="007A5D8F"/>
    <w:rsid w:val="007A672D"/>
    <w:rsid w:val="007A678B"/>
    <w:rsid w:val="007A67D4"/>
    <w:rsid w:val="007A6ACF"/>
    <w:rsid w:val="007A6DC3"/>
    <w:rsid w:val="007A7220"/>
    <w:rsid w:val="007A771B"/>
    <w:rsid w:val="007A7D9C"/>
    <w:rsid w:val="007A7F09"/>
    <w:rsid w:val="007B00B9"/>
    <w:rsid w:val="007B03A0"/>
    <w:rsid w:val="007B0651"/>
    <w:rsid w:val="007B08C3"/>
    <w:rsid w:val="007B0940"/>
    <w:rsid w:val="007B0979"/>
    <w:rsid w:val="007B0998"/>
    <w:rsid w:val="007B0E03"/>
    <w:rsid w:val="007B0F89"/>
    <w:rsid w:val="007B1B5F"/>
    <w:rsid w:val="007B1B9E"/>
    <w:rsid w:val="007B2285"/>
    <w:rsid w:val="007B2C4F"/>
    <w:rsid w:val="007B308A"/>
    <w:rsid w:val="007B440E"/>
    <w:rsid w:val="007B4A27"/>
    <w:rsid w:val="007B50CC"/>
    <w:rsid w:val="007B513A"/>
    <w:rsid w:val="007B51BD"/>
    <w:rsid w:val="007B5445"/>
    <w:rsid w:val="007B5877"/>
    <w:rsid w:val="007B5FA4"/>
    <w:rsid w:val="007B5FFF"/>
    <w:rsid w:val="007B6026"/>
    <w:rsid w:val="007B62C7"/>
    <w:rsid w:val="007B6340"/>
    <w:rsid w:val="007B659B"/>
    <w:rsid w:val="007B6927"/>
    <w:rsid w:val="007B6CD1"/>
    <w:rsid w:val="007B6D72"/>
    <w:rsid w:val="007B6D74"/>
    <w:rsid w:val="007B6F8B"/>
    <w:rsid w:val="007B7036"/>
    <w:rsid w:val="007B75E1"/>
    <w:rsid w:val="007B7ADC"/>
    <w:rsid w:val="007B7DC4"/>
    <w:rsid w:val="007C069F"/>
    <w:rsid w:val="007C0766"/>
    <w:rsid w:val="007C084D"/>
    <w:rsid w:val="007C09DC"/>
    <w:rsid w:val="007C10F3"/>
    <w:rsid w:val="007C1F82"/>
    <w:rsid w:val="007C26E3"/>
    <w:rsid w:val="007C2AA2"/>
    <w:rsid w:val="007C2D8B"/>
    <w:rsid w:val="007C2FA6"/>
    <w:rsid w:val="007C3078"/>
    <w:rsid w:val="007C33C0"/>
    <w:rsid w:val="007C39A6"/>
    <w:rsid w:val="007C4509"/>
    <w:rsid w:val="007C4528"/>
    <w:rsid w:val="007C4F81"/>
    <w:rsid w:val="007C5119"/>
    <w:rsid w:val="007C5191"/>
    <w:rsid w:val="007C5FBA"/>
    <w:rsid w:val="007C66F1"/>
    <w:rsid w:val="007C6E6F"/>
    <w:rsid w:val="007C74DC"/>
    <w:rsid w:val="007C7925"/>
    <w:rsid w:val="007C7BAA"/>
    <w:rsid w:val="007C7CAF"/>
    <w:rsid w:val="007D01A4"/>
    <w:rsid w:val="007D0375"/>
    <w:rsid w:val="007D07FF"/>
    <w:rsid w:val="007D0844"/>
    <w:rsid w:val="007D0EB4"/>
    <w:rsid w:val="007D1236"/>
    <w:rsid w:val="007D13D8"/>
    <w:rsid w:val="007D1C30"/>
    <w:rsid w:val="007D1F9E"/>
    <w:rsid w:val="007D2445"/>
    <w:rsid w:val="007D25E3"/>
    <w:rsid w:val="007D2C68"/>
    <w:rsid w:val="007D2F38"/>
    <w:rsid w:val="007D3B4E"/>
    <w:rsid w:val="007D3B96"/>
    <w:rsid w:val="007D3F89"/>
    <w:rsid w:val="007D4320"/>
    <w:rsid w:val="007D4588"/>
    <w:rsid w:val="007D4764"/>
    <w:rsid w:val="007D49E5"/>
    <w:rsid w:val="007D4F50"/>
    <w:rsid w:val="007D571F"/>
    <w:rsid w:val="007D6355"/>
    <w:rsid w:val="007D63B9"/>
    <w:rsid w:val="007D659B"/>
    <w:rsid w:val="007D67EB"/>
    <w:rsid w:val="007D6911"/>
    <w:rsid w:val="007D6946"/>
    <w:rsid w:val="007D6B7B"/>
    <w:rsid w:val="007D727B"/>
    <w:rsid w:val="007D744B"/>
    <w:rsid w:val="007D74FF"/>
    <w:rsid w:val="007D7AB0"/>
    <w:rsid w:val="007E05BC"/>
    <w:rsid w:val="007E0604"/>
    <w:rsid w:val="007E0F68"/>
    <w:rsid w:val="007E2824"/>
    <w:rsid w:val="007E2CB0"/>
    <w:rsid w:val="007E3016"/>
    <w:rsid w:val="007E337E"/>
    <w:rsid w:val="007E3960"/>
    <w:rsid w:val="007E3B7B"/>
    <w:rsid w:val="007E3F94"/>
    <w:rsid w:val="007E45C8"/>
    <w:rsid w:val="007E4839"/>
    <w:rsid w:val="007E506F"/>
    <w:rsid w:val="007E5504"/>
    <w:rsid w:val="007E56FB"/>
    <w:rsid w:val="007E5BB2"/>
    <w:rsid w:val="007E642F"/>
    <w:rsid w:val="007E646E"/>
    <w:rsid w:val="007E69AD"/>
    <w:rsid w:val="007E6AE2"/>
    <w:rsid w:val="007E6D7B"/>
    <w:rsid w:val="007E6DE6"/>
    <w:rsid w:val="007E7454"/>
    <w:rsid w:val="007E75C8"/>
    <w:rsid w:val="007E7F71"/>
    <w:rsid w:val="007F0090"/>
    <w:rsid w:val="007F10E8"/>
    <w:rsid w:val="007F17EC"/>
    <w:rsid w:val="007F1987"/>
    <w:rsid w:val="007F1BBC"/>
    <w:rsid w:val="007F1D44"/>
    <w:rsid w:val="007F2052"/>
    <w:rsid w:val="007F2309"/>
    <w:rsid w:val="007F2372"/>
    <w:rsid w:val="007F2FC3"/>
    <w:rsid w:val="007F3B45"/>
    <w:rsid w:val="007F3C9B"/>
    <w:rsid w:val="007F429D"/>
    <w:rsid w:val="007F4308"/>
    <w:rsid w:val="007F4474"/>
    <w:rsid w:val="007F55FF"/>
    <w:rsid w:val="007F56EC"/>
    <w:rsid w:val="007F5886"/>
    <w:rsid w:val="007F5C56"/>
    <w:rsid w:val="007F5E4F"/>
    <w:rsid w:val="007F640E"/>
    <w:rsid w:val="007F6AD0"/>
    <w:rsid w:val="007F7332"/>
    <w:rsid w:val="007F78FE"/>
    <w:rsid w:val="00800739"/>
    <w:rsid w:val="00800845"/>
    <w:rsid w:val="00800D7D"/>
    <w:rsid w:val="00801505"/>
    <w:rsid w:val="008015F1"/>
    <w:rsid w:val="008019F8"/>
    <w:rsid w:val="008026B4"/>
    <w:rsid w:val="00802CA6"/>
    <w:rsid w:val="00802CB0"/>
    <w:rsid w:val="0080353B"/>
    <w:rsid w:val="00803623"/>
    <w:rsid w:val="008039C8"/>
    <w:rsid w:val="00803DAB"/>
    <w:rsid w:val="00803DDF"/>
    <w:rsid w:val="0080458B"/>
    <w:rsid w:val="0080478A"/>
    <w:rsid w:val="00805783"/>
    <w:rsid w:val="00805919"/>
    <w:rsid w:val="008060B0"/>
    <w:rsid w:val="00806414"/>
    <w:rsid w:val="00806436"/>
    <w:rsid w:val="00806931"/>
    <w:rsid w:val="00806D95"/>
    <w:rsid w:val="008073DD"/>
    <w:rsid w:val="00807835"/>
    <w:rsid w:val="00807A56"/>
    <w:rsid w:val="00807B5D"/>
    <w:rsid w:val="008110E2"/>
    <w:rsid w:val="00811216"/>
    <w:rsid w:val="00811488"/>
    <w:rsid w:val="00811BEA"/>
    <w:rsid w:val="00811FC1"/>
    <w:rsid w:val="0081217A"/>
    <w:rsid w:val="00812333"/>
    <w:rsid w:val="0081235F"/>
    <w:rsid w:val="0081264E"/>
    <w:rsid w:val="00812B12"/>
    <w:rsid w:val="00812CB7"/>
    <w:rsid w:val="00813DCB"/>
    <w:rsid w:val="00813EFD"/>
    <w:rsid w:val="00813F29"/>
    <w:rsid w:val="008140B8"/>
    <w:rsid w:val="00814376"/>
    <w:rsid w:val="00815350"/>
    <w:rsid w:val="00816143"/>
    <w:rsid w:val="00816232"/>
    <w:rsid w:val="0081632E"/>
    <w:rsid w:val="00816D01"/>
    <w:rsid w:val="00817099"/>
    <w:rsid w:val="00817438"/>
    <w:rsid w:val="00817713"/>
    <w:rsid w:val="0082003F"/>
    <w:rsid w:val="00820E11"/>
    <w:rsid w:val="008214EF"/>
    <w:rsid w:val="0082161A"/>
    <w:rsid w:val="00821A83"/>
    <w:rsid w:val="00821B12"/>
    <w:rsid w:val="00822091"/>
    <w:rsid w:val="00822332"/>
    <w:rsid w:val="00822B54"/>
    <w:rsid w:val="008231AD"/>
    <w:rsid w:val="0082355A"/>
    <w:rsid w:val="00824ADB"/>
    <w:rsid w:val="00824BCB"/>
    <w:rsid w:val="00825139"/>
    <w:rsid w:val="0082524A"/>
    <w:rsid w:val="0082575A"/>
    <w:rsid w:val="008259D6"/>
    <w:rsid w:val="00825A81"/>
    <w:rsid w:val="00825B56"/>
    <w:rsid w:val="00825D2E"/>
    <w:rsid w:val="008265A2"/>
    <w:rsid w:val="00826880"/>
    <w:rsid w:val="00826F9D"/>
    <w:rsid w:val="00827F46"/>
    <w:rsid w:val="0083018A"/>
    <w:rsid w:val="00830650"/>
    <w:rsid w:val="0083072E"/>
    <w:rsid w:val="00830ED9"/>
    <w:rsid w:val="0083178D"/>
    <w:rsid w:val="00831DB8"/>
    <w:rsid w:val="0083269C"/>
    <w:rsid w:val="008327D7"/>
    <w:rsid w:val="00832ABA"/>
    <w:rsid w:val="00832B06"/>
    <w:rsid w:val="00832D91"/>
    <w:rsid w:val="00832E9E"/>
    <w:rsid w:val="00833167"/>
    <w:rsid w:val="008331AB"/>
    <w:rsid w:val="00833537"/>
    <w:rsid w:val="00833763"/>
    <w:rsid w:val="008337D1"/>
    <w:rsid w:val="00833B50"/>
    <w:rsid w:val="008342E5"/>
    <w:rsid w:val="00834316"/>
    <w:rsid w:val="008346C2"/>
    <w:rsid w:val="00834EE6"/>
    <w:rsid w:val="008369BF"/>
    <w:rsid w:val="00836DAF"/>
    <w:rsid w:val="00836F69"/>
    <w:rsid w:val="00836F88"/>
    <w:rsid w:val="008371C4"/>
    <w:rsid w:val="00837FD4"/>
    <w:rsid w:val="00840119"/>
    <w:rsid w:val="0084030F"/>
    <w:rsid w:val="008405A6"/>
    <w:rsid w:val="00840FA6"/>
    <w:rsid w:val="0084119B"/>
    <w:rsid w:val="00842A51"/>
    <w:rsid w:val="00842D0B"/>
    <w:rsid w:val="008440C2"/>
    <w:rsid w:val="008442EA"/>
    <w:rsid w:val="008447CB"/>
    <w:rsid w:val="00844DAA"/>
    <w:rsid w:val="00844F2C"/>
    <w:rsid w:val="008453B4"/>
    <w:rsid w:val="008456FE"/>
    <w:rsid w:val="00845833"/>
    <w:rsid w:val="0084606F"/>
    <w:rsid w:val="008464D4"/>
    <w:rsid w:val="00846926"/>
    <w:rsid w:val="00846B9D"/>
    <w:rsid w:val="00846D1E"/>
    <w:rsid w:val="0084788C"/>
    <w:rsid w:val="008500C7"/>
    <w:rsid w:val="0085025E"/>
    <w:rsid w:val="0085026E"/>
    <w:rsid w:val="008508A0"/>
    <w:rsid w:val="008508C8"/>
    <w:rsid w:val="00850C59"/>
    <w:rsid w:val="00851AEE"/>
    <w:rsid w:val="00851DE0"/>
    <w:rsid w:val="008529DA"/>
    <w:rsid w:val="00852D5E"/>
    <w:rsid w:val="00852F6B"/>
    <w:rsid w:val="0085348E"/>
    <w:rsid w:val="0085354D"/>
    <w:rsid w:val="00853705"/>
    <w:rsid w:val="00853AF3"/>
    <w:rsid w:val="00853E70"/>
    <w:rsid w:val="00854823"/>
    <w:rsid w:val="008549D9"/>
    <w:rsid w:val="00854C08"/>
    <w:rsid w:val="00855329"/>
    <w:rsid w:val="00855443"/>
    <w:rsid w:val="0085597A"/>
    <w:rsid w:val="00855EC0"/>
    <w:rsid w:val="008566A5"/>
    <w:rsid w:val="00856AA4"/>
    <w:rsid w:val="00856C68"/>
    <w:rsid w:val="00856C79"/>
    <w:rsid w:val="008570E2"/>
    <w:rsid w:val="0085780E"/>
    <w:rsid w:val="00857CE2"/>
    <w:rsid w:val="00860BFF"/>
    <w:rsid w:val="00860D63"/>
    <w:rsid w:val="00861252"/>
    <w:rsid w:val="008617DD"/>
    <w:rsid w:val="00861BFF"/>
    <w:rsid w:val="00862DB0"/>
    <w:rsid w:val="00862EE6"/>
    <w:rsid w:val="0086324F"/>
    <w:rsid w:val="0086371D"/>
    <w:rsid w:val="00863920"/>
    <w:rsid w:val="00863BF7"/>
    <w:rsid w:val="00864093"/>
    <w:rsid w:val="008645E9"/>
    <w:rsid w:val="008649BB"/>
    <w:rsid w:val="00864B19"/>
    <w:rsid w:val="00864B82"/>
    <w:rsid w:val="00864EA2"/>
    <w:rsid w:val="008651D5"/>
    <w:rsid w:val="0086537E"/>
    <w:rsid w:val="008653E0"/>
    <w:rsid w:val="008654FB"/>
    <w:rsid w:val="00865B3F"/>
    <w:rsid w:val="008667B0"/>
    <w:rsid w:val="00866954"/>
    <w:rsid w:val="00866C9B"/>
    <w:rsid w:val="00866D07"/>
    <w:rsid w:val="0086716D"/>
    <w:rsid w:val="00867B1D"/>
    <w:rsid w:val="00867E45"/>
    <w:rsid w:val="008700BB"/>
    <w:rsid w:val="00870ECF"/>
    <w:rsid w:val="00870F5B"/>
    <w:rsid w:val="00870F81"/>
    <w:rsid w:val="0087135E"/>
    <w:rsid w:val="00871750"/>
    <w:rsid w:val="008722E8"/>
    <w:rsid w:val="008724E0"/>
    <w:rsid w:val="00872603"/>
    <w:rsid w:val="0087344A"/>
    <w:rsid w:val="0087359E"/>
    <w:rsid w:val="008738DF"/>
    <w:rsid w:val="00873F19"/>
    <w:rsid w:val="008741DD"/>
    <w:rsid w:val="00875972"/>
    <w:rsid w:val="00875BC9"/>
    <w:rsid w:val="0087647B"/>
    <w:rsid w:val="0087650D"/>
    <w:rsid w:val="00876EBB"/>
    <w:rsid w:val="00877D89"/>
    <w:rsid w:val="00877E0B"/>
    <w:rsid w:val="00877F26"/>
    <w:rsid w:val="00880316"/>
    <w:rsid w:val="00880345"/>
    <w:rsid w:val="00880577"/>
    <w:rsid w:val="008809CF"/>
    <w:rsid w:val="00880EFC"/>
    <w:rsid w:val="008811CE"/>
    <w:rsid w:val="00881380"/>
    <w:rsid w:val="00881382"/>
    <w:rsid w:val="00881491"/>
    <w:rsid w:val="00882372"/>
    <w:rsid w:val="008828F7"/>
    <w:rsid w:val="00882963"/>
    <w:rsid w:val="00882CF8"/>
    <w:rsid w:val="0088371A"/>
    <w:rsid w:val="00883BB9"/>
    <w:rsid w:val="00884472"/>
    <w:rsid w:val="00884642"/>
    <w:rsid w:val="00884AA7"/>
    <w:rsid w:val="00884C8A"/>
    <w:rsid w:val="00884F74"/>
    <w:rsid w:val="0088589A"/>
    <w:rsid w:val="00885C67"/>
    <w:rsid w:val="00885E2D"/>
    <w:rsid w:val="00886281"/>
    <w:rsid w:val="008866F0"/>
    <w:rsid w:val="0088687E"/>
    <w:rsid w:val="00886C8D"/>
    <w:rsid w:val="00887179"/>
    <w:rsid w:val="008874D7"/>
    <w:rsid w:val="00887E6E"/>
    <w:rsid w:val="00890207"/>
    <w:rsid w:val="00890273"/>
    <w:rsid w:val="008902F9"/>
    <w:rsid w:val="008903C5"/>
    <w:rsid w:val="00890422"/>
    <w:rsid w:val="0089061D"/>
    <w:rsid w:val="008907B4"/>
    <w:rsid w:val="008911DF"/>
    <w:rsid w:val="00892DF4"/>
    <w:rsid w:val="00893146"/>
    <w:rsid w:val="00893415"/>
    <w:rsid w:val="00893B24"/>
    <w:rsid w:val="00894105"/>
    <w:rsid w:val="00894509"/>
    <w:rsid w:val="008949E2"/>
    <w:rsid w:val="00894B88"/>
    <w:rsid w:val="00895AB1"/>
    <w:rsid w:val="00895D58"/>
    <w:rsid w:val="00897143"/>
    <w:rsid w:val="00897244"/>
    <w:rsid w:val="008974C4"/>
    <w:rsid w:val="0089769D"/>
    <w:rsid w:val="008A0B15"/>
    <w:rsid w:val="008A108E"/>
    <w:rsid w:val="008A1099"/>
    <w:rsid w:val="008A10F2"/>
    <w:rsid w:val="008A165B"/>
    <w:rsid w:val="008A19D4"/>
    <w:rsid w:val="008A2170"/>
    <w:rsid w:val="008A2515"/>
    <w:rsid w:val="008A2A95"/>
    <w:rsid w:val="008A30CD"/>
    <w:rsid w:val="008A3675"/>
    <w:rsid w:val="008A3C6E"/>
    <w:rsid w:val="008A3EFF"/>
    <w:rsid w:val="008A44DB"/>
    <w:rsid w:val="008A4502"/>
    <w:rsid w:val="008A4707"/>
    <w:rsid w:val="008A4A7A"/>
    <w:rsid w:val="008A4E07"/>
    <w:rsid w:val="008A5033"/>
    <w:rsid w:val="008A518E"/>
    <w:rsid w:val="008A58F9"/>
    <w:rsid w:val="008A59D9"/>
    <w:rsid w:val="008A5DFB"/>
    <w:rsid w:val="008A60C4"/>
    <w:rsid w:val="008A6159"/>
    <w:rsid w:val="008A66C6"/>
    <w:rsid w:val="008A6770"/>
    <w:rsid w:val="008A67C8"/>
    <w:rsid w:val="008A69B3"/>
    <w:rsid w:val="008A6AC1"/>
    <w:rsid w:val="008A6FF1"/>
    <w:rsid w:val="008A7830"/>
    <w:rsid w:val="008B0229"/>
    <w:rsid w:val="008B0244"/>
    <w:rsid w:val="008B027A"/>
    <w:rsid w:val="008B07B3"/>
    <w:rsid w:val="008B07B6"/>
    <w:rsid w:val="008B0CE8"/>
    <w:rsid w:val="008B145A"/>
    <w:rsid w:val="008B20B9"/>
    <w:rsid w:val="008B2BBC"/>
    <w:rsid w:val="008B3088"/>
    <w:rsid w:val="008B43FE"/>
    <w:rsid w:val="008B4ED2"/>
    <w:rsid w:val="008B538B"/>
    <w:rsid w:val="008B56B7"/>
    <w:rsid w:val="008B5D50"/>
    <w:rsid w:val="008B61E3"/>
    <w:rsid w:val="008B6365"/>
    <w:rsid w:val="008B680C"/>
    <w:rsid w:val="008B6EE4"/>
    <w:rsid w:val="008B7533"/>
    <w:rsid w:val="008B77D4"/>
    <w:rsid w:val="008B784A"/>
    <w:rsid w:val="008B7C1F"/>
    <w:rsid w:val="008B7DDF"/>
    <w:rsid w:val="008B7EE2"/>
    <w:rsid w:val="008C0792"/>
    <w:rsid w:val="008C0CCB"/>
    <w:rsid w:val="008C17B4"/>
    <w:rsid w:val="008C1DEF"/>
    <w:rsid w:val="008C1F28"/>
    <w:rsid w:val="008C20C1"/>
    <w:rsid w:val="008C2F67"/>
    <w:rsid w:val="008C30A9"/>
    <w:rsid w:val="008C31DE"/>
    <w:rsid w:val="008C36B7"/>
    <w:rsid w:val="008C3B1A"/>
    <w:rsid w:val="008C4745"/>
    <w:rsid w:val="008C4E53"/>
    <w:rsid w:val="008C4FD9"/>
    <w:rsid w:val="008C513E"/>
    <w:rsid w:val="008C561C"/>
    <w:rsid w:val="008C5A58"/>
    <w:rsid w:val="008C5B21"/>
    <w:rsid w:val="008C5FC3"/>
    <w:rsid w:val="008C60A6"/>
    <w:rsid w:val="008C6460"/>
    <w:rsid w:val="008C6A41"/>
    <w:rsid w:val="008C6C03"/>
    <w:rsid w:val="008C739F"/>
    <w:rsid w:val="008C7A60"/>
    <w:rsid w:val="008C7B24"/>
    <w:rsid w:val="008C7D37"/>
    <w:rsid w:val="008C7F15"/>
    <w:rsid w:val="008D013B"/>
    <w:rsid w:val="008D058C"/>
    <w:rsid w:val="008D08C0"/>
    <w:rsid w:val="008D0DF5"/>
    <w:rsid w:val="008D10E4"/>
    <w:rsid w:val="008D1892"/>
    <w:rsid w:val="008D1A36"/>
    <w:rsid w:val="008D1CED"/>
    <w:rsid w:val="008D201C"/>
    <w:rsid w:val="008D21DC"/>
    <w:rsid w:val="008D21FF"/>
    <w:rsid w:val="008D2251"/>
    <w:rsid w:val="008D2A4A"/>
    <w:rsid w:val="008D3743"/>
    <w:rsid w:val="008D4257"/>
    <w:rsid w:val="008D450A"/>
    <w:rsid w:val="008D484F"/>
    <w:rsid w:val="008D4B66"/>
    <w:rsid w:val="008D5233"/>
    <w:rsid w:val="008D5C89"/>
    <w:rsid w:val="008D6069"/>
    <w:rsid w:val="008D660D"/>
    <w:rsid w:val="008D678C"/>
    <w:rsid w:val="008D6FFB"/>
    <w:rsid w:val="008D7110"/>
    <w:rsid w:val="008D728F"/>
    <w:rsid w:val="008D7442"/>
    <w:rsid w:val="008D78E3"/>
    <w:rsid w:val="008D7BDD"/>
    <w:rsid w:val="008E0433"/>
    <w:rsid w:val="008E1BA9"/>
    <w:rsid w:val="008E282D"/>
    <w:rsid w:val="008E2B8A"/>
    <w:rsid w:val="008E2CB5"/>
    <w:rsid w:val="008E364E"/>
    <w:rsid w:val="008E3700"/>
    <w:rsid w:val="008E3730"/>
    <w:rsid w:val="008E3771"/>
    <w:rsid w:val="008E3DDB"/>
    <w:rsid w:val="008E4106"/>
    <w:rsid w:val="008E421F"/>
    <w:rsid w:val="008E434B"/>
    <w:rsid w:val="008E475E"/>
    <w:rsid w:val="008E47EF"/>
    <w:rsid w:val="008E481F"/>
    <w:rsid w:val="008E508F"/>
    <w:rsid w:val="008E52B9"/>
    <w:rsid w:val="008E5C8A"/>
    <w:rsid w:val="008E6C9F"/>
    <w:rsid w:val="008E6DFC"/>
    <w:rsid w:val="008E71C3"/>
    <w:rsid w:val="008E73EB"/>
    <w:rsid w:val="008E750D"/>
    <w:rsid w:val="008E7929"/>
    <w:rsid w:val="008F058D"/>
    <w:rsid w:val="008F05F5"/>
    <w:rsid w:val="008F1461"/>
    <w:rsid w:val="008F1663"/>
    <w:rsid w:val="008F1B4B"/>
    <w:rsid w:val="008F2168"/>
    <w:rsid w:val="008F25A4"/>
    <w:rsid w:val="008F2783"/>
    <w:rsid w:val="008F2C01"/>
    <w:rsid w:val="008F32B0"/>
    <w:rsid w:val="008F3327"/>
    <w:rsid w:val="008F335B"/>
    <w:rsid w:val="008F3868"/>
    <w:rsid w:val="008F49AB"/>
    <w:rsid w:val="008F4C5B"/>
    <w:rsid w:val="008F4CCA"/>
    <w:rsid w:val="008F5043"/>
    <w:rsid w:val="008F5A4C"/>
    <w:rsid w:val="008F5CEE"/>
    <w:rsid w:val="008F64C5"/>
    <w:rsid w:val="008F707D"/>
    <w:rsid w:val="008F71C4"/>
    <w:rsid w:val="008F721C"/>
    <w:rsid w:val="008F72A9"/>
    <w:rsid w:val="00900482"/>
    <w:rsid w:val="009009D7"/>
    <w:rsid w:val="009010EB"/>
    <w:rsid w:val="0090111D"/>
    <w:rsid w:val="009017DC"/>
    <w:rsid w:val="00901E22"/>
    <w:rsid w:val="0090257E"/>
    <w:rsid w:val="009029D0"/>
    <w:rsid w:val="00902C35"/>
    <w:rsid w:val="009034AF"/>
    <w:rsid w:val="00903763"/>
    <w:rsid w:val="00903A79"/>
    <w:rsid w:val="00903DE5"/>
    <w:rsid w:val="00904C44"/>
    <w:rsid w:val="00905086"/>
    <w:rsid w:val="00905B7B"/>
    <w:rsid w:val="00905D81"/>
    <w:rsid w:val="00906044"/>
    <w:rsid w:val="00906786"/>
    <w:rsid w:val="00906D3B"/>
    <w:rsid w:val="0090715F"/>
    <w:rsid w:val="0090721D"/>
    <w:rsid w:val="0090762D"/>
    <w:rsid w:val="0090771C"/>
    <w:rsid w:val="0091013D"/>
    <w:rsid w:val="00910696"/>
    <w:rsid w:val="009107E2"/>
    <w:rsid w:val="00910F72"/>
    <w:rsid w:val="009113D2"/>
    <w:rsid w:val="00911533"/>
    <w:rsid w:val="0091154F"/>
    <w:rsid w:val="00911CC9"/>
    <w:rsid w:val="00911D11"/>
    <w:rsid w:val="00911ED2"/>
    <w:rsid w:val="009121A3"/>
    <w:rsid w:val="00912855"/>
    <w:rsid w:val="00912AD9"/>
    <w:rsid w:val="00912F2D"/>
    <w:rsid w:val="009132E1"/>
    <w:rsid w:val="00913E66"/>
    <w:rsid w:val="00914E57"/>
    <w:rsid w:val="00915157"/>
    <w:rsid w:val="009159D0"/>
    <w:rsid w:val="00915CA9"/>
    <w:rsid w:val="00915F8A"/>
    <w:rsid w:val="009164AF"/>
    <w:rsid w:val="009164E3"/>
    <w:rsid w:val="0091692A"/>
    <w:rsid w:val="00916D98"/>
    <w:rsid w:val="009171CD"/>
    <w:rsid w:val="0091774E"/>
    <w:rsid w:val="009177DD"/>
    <w:rsid w:val="00917D79"/>
    <w:rsid w:val="00920128"/>
    <w:rsid w:val="00920427"/>
    <w:rsid w:val="0092043B"/>
    <w:rsid w:val="009207CD"/>
    <w:rsid w:val="00920A65"/>
    <w:rsid w:val="00920ACD"/>
    <w:rsid w:val="00920AD1"/>
    <w:rsid w:val="00920C58"/>
    <w:rsid w:val="00920C8C"/>
    <w:rsid w:val="0092157F"/>
    <w:rsid w:val="00921E9B"/>
    <w:rsid w:val="00922B01"/>
    <w:rsid w:val="0092325B"/>
    <w:rsid w:val="00923278"/>
    <w:rsid w:val="009234F3"/>
    <w:rsid w:val="00923BC8"/>
    <w:rsid w:val="00923CED"/>
    <w:rsid w:val="00923F20"/>
    <w:rsid w:val="00924789"/>
    <w:rsid w:val="009249D7"/>
    <w:rsid w:val="009249F1"/>
    <w:rsid w:val="0092595D"/>
    <w:rsid w:val="00925D3D"/>
    <w:rsid w:val="00926CEA"/>
    <w:rsid w:val="00926D4E"/>
    <w:rsid w:val="00927C0C"/>
    <w:rsid w:val="00930191"/>
    <w:rsid w:val="009301FF"/>
    <w:rsid w:val="00930203"/>
    <w:rsid w:val="009304FC"/>
    <w:rsid w:val="009307E4"/>
    <w:rsid w:val="00930A76"/>
    <w:rsid w:val="009313CA"/>
    <w:rsid w:val="00931B1A"/>
    <w:rsid w:val="009321F1"/>
    <w:rsid w:val="0093362B"/>
    <w:rsid w:val="00933949"/>
    <w:rsid w:val="00933956"/>
    <w:rsid w:val="00933975"/>
    <w:rsid w:val="00933E55"/>
    <w:rsid w:val="00933E6B"/>
    <w:rsid w:val="009343CD"/>
    <w:rsid w:val="0093452D"/>
    <w:rsid w:val="009346D3"/>
    <w:rsid w:val="00934935"/>
    <w:rsid w:val="00934D20"/>
    <w:rsid w:val="00934D37"/>
    <w:rsid w:val="00934EBB"/>
    <w:rsid w:val="009350F1"/>
    <w:rsid w:val="0093523B"/>
    <w:rsid w:val="00935293"/>
    <w:rsid w:val="0093533A"/>
    <w:rsid w:val="00935598"/>
    <w:rsid w:val="0093576E"/>
    <w:rsid w:val="00935FEC"/>
    <w:rsid w:val="00936B25"/>
    <w:rsid w:val="00936BED"/>
    <w:rsid w:val="00937327"/>
    <w:rsid w:val="00937360"/>
    <w:rsid w:val="0093738B"/>
    <w:rsid w:val="00940AFB"/>
    <w:rsid w:val="00940EA5"/>
    <w:rsid w:val="00941030"/>
    <w:rsid w:val="00941CAE"/>
    <w:rsid w:val="00942356"/>
    <w:rsid w:val="009428FB"/>
    <w:rsid w:val="00942A34"/>
    <w:rsid w:val="00942E45"/>
    <w:rsid w:val="00942ECD"/>
    <w:rsid w:val="00942FDD"/>
    <w:rsid w:val="009434AC"/>
    <w:rsid w:val="009436EC"/>
    <w:rsid w:val="00943A45"/>
    <w:rsid w:val="00943B87"/>
    <w:rsid w:val="00944297"/>
    <w:rsid w:val="009443E1"/>
    <w:rsid w:val="009446AF"/>
    <w:rsid w:val="00944D8F"/>
    <w:rsid w:val="00944DD6"/>
    <w:rsid w:val="0094508F"/>
    <w:rsid w:val="009452BA"/>
    <w:rsid w:val="00945421"/>
    <w:rsid w:val="00945492"/>
    <w:rsid w:val="009456A0"/>
    <w:rsid w:val="00946D35"/>
    <w:rsid w:val="00947206"/>
    <w:rsid w:val="0094735F"/>
    <w:rsid w:val="0094739A"/>
    <w:rsid w:val="009475B1"/>
    <w:rsid w:val="0095013D"/>
    <w:rsid w:val="0095016F"/>
    <w:rsid w:val="00950223"/>
    <w:rsid w:val="00950635"/>
    <w:rsid w:val="00950C19"/>
    <w:rsid w:val="009512F4"/>
    <w:rsid w:val="009514EA"/>
    <w:rsid w:val="00952311"/>
    <w:rsid w:val="009525B7"/>
    <w:rsid w:val="00952800"/>
    <w:rsid w:val="00952B4B"/>
    <w:rsid w:val="00953449"/>
    <w:rsid w:val="00953BE3"/>
    <w:rsid w:val="00953CCE"/>
    <w:rsid w:val="00953F25"/>
    <w:rsid w:val="00954159"/>
    <w:rsid w:val="0095436E"/>
    <w:rsid w:val="0095494A"/>
    <w:rsid w:val="00954B9E"/>
    <w:rsid w:val="00954FD5"/>
    <w:rsid w:val="00955DBD"/>
    <w:rsid w:val="009561A0"/>
    <w:rsid w:val="009561B8"/>
    <w:rsid w:val="009562E1"/>
    <w:rsid w:val="00956922"/>
    <w:rsid w:val="0095767D"/>
    <w:rsid w:val="00957E5A"/>
    <w:rsid w:val="00957EC3"/>
    <w:rsid w:val="00960410"/>
    <w:rsid w:val="00960446"/>
    <w:rsid w:val="00960659"/>
    <w:rsid w:val="00960AF6"/>
    <w:rsid w:val="0096109C"/>
    <w:rsid w:val="009616B1"/>
    <w:rsid w:val="0096257E"/>
    <w:rsid w:val="009626A3"/>
    <w:rsid w:val="009628F1"/>
    <w:rsid w:val="00962913"/>
    <w:rsid w:val="00962C37"/>
    <w:rsid w:val="00962E97"/>
    <w:rsid w:val="00963561"/>
    <w:rsid w:val="00963860"/>
    <w:rsid w:val="0096448F"/>
    <w:rsid w:val="009644C6"/>
    <w:rsid w:val="0096454F"/>
    <w:rsid w:val="00965590"/>
    <w:rsid w:val="0096577C"/>
    <w:rsid w:val="00965DAB"/>
    <w:rsid w:val="00966348"/>
    <w:rsid w:val="00966C5C"/>
    <w:rsid w:val="0096745B"/>
    <w:rsid w:val="0096780E"/>
    <w:rsid w:val="00967DA6"/>
    <w:rsid w:val="00970136"/>
    <w:rsid w:val="009702BC"/>
    <w:rsid w:val="009703F8"/>
    <w:rsid w:val="00970885"/>
    <w:rsid w:val="00970E60"/>
    <w:rsid w:val="00971076"/>
    <w:rsid w:val="00971556"/>
    <w:rsid w:val="00971B15"/>
    <w:rsid w:val="00972064"/>
    <w:rsid w:val="00972825"/>
    <w:rsid w:val="00972BD3"/>
    <w:rsid w:val="00972BEA"/>
    <w:rsid w:val="0097311F"/>
    <w:rsid w:val="009734B6"/>
    <w:rsid w:val="009734B8"/>
    <w:rsid w:val="009734E4"/>
    <w:rsid w:val="009737D9"/>
    <w:rsid w:val="009738E7"/>
    <w:rsid w:val="00973BAA"/>
    <w:rsid w:val="00974353"/>
    <w:rsid w:val="0097471F"/>
    <w:rsid w:val="00974DD0"/>
    <w:rsid w:val="00974F2A"/>
    <w:rsid w:val="0097584E"/>
    <w:rsid w:val="00975AB7"/>
    <w:rsid w:val="00975C20"/>
    <w:rsid w:val="00975D13"/>
    <w:rsid w:val="00975DFF"/>
    <w:rsid w:val="009761DD"/>
    <w:rsid w:val="00976295"/>
    <w:rsid w:val="0097658A"/>
    <w:rsid w:val="00976FB8"/>
    <w:rsid w:val="00977201"/>
    <w:rsid w:val="00977D7D"/>
    <w:rsid w:val="00980476"/>
    <w:rsid w:val="00980592"/>
    <w:rsid w:val="00980D51"/>
    <w:rsid w:val="009810D7"/>
    <w:rsid w:val="00981597"/>
    <w:rsid w:val="009819C4"/>
    <w:rsid w:val="00981B00"/>
    <w:rsid w:val="00981EF3"/>
    <w:rsid w:val="009821D8"/>
    <w:rsid w:val="00982555"/>
    <w:rsid w:val="009826BF"/>
    <w:rsid w:val="0098270B"/>
    <w:rsid w:val="00983526"/>
    <w:rsid w:val="009835E5"/>
    <w:rsid w:val="009837A8"/>
    <w:rsid w:val="00983CA6"/>
    <w:rsid w:val="00984393"/>
    <w:rsid w:val="009845DC"/>
    <w:rsid w:val="00985508"/>
    <w:rsid w:val="0098578C"/>
    <w:rsid w:val="00985C04"/>
    <w:rsid w:val="009865EA"/>
    <w:rsid w:val="00986637"/>
    <w:rsid w:val="009871BC"/>
    <w:rsid w:val="00987447"/>
    <w:rsid w:val="00987B4D"/>
    <w:rsid w:val="00987E2F"/>
    <w:rsid w:val="00990031"/>
    <w:rsid w:val="009903CF"/>
    <w:rsid w:val="0099042A"/>
    <w:rsid w:val="00990893"/>
    <w:rsid w:val="00990AF5"/>
    <w:rsid w:val="00990B08"/>
    <w:rsid w:val="00990BA3"/>
    <w:rsid w:val="00990F15"/>
    <w:rsid w:val="00992423"/>
    <w:rsid w:val="00992797"/>
    <w:rsid w:val="00992929"/>
    <w:rsid w:val="0099324D"/>
    <w:rsid w:val="009938ED"/>
    <w:rsid w:val="00993FA7"/>
    <w:rsid w:val="0099402D"/>
    <w:rsid w:val="00994539"/>
    <w:rsid w:val="00994BD0"/>
    <w:rsid w:val="00995630"/>
    <w:rsid w:val="00995CA5"/>
    <w:rsid w:val="009962F8"/>
    <w:rsid w:val="00996D3B"/>
    <w:rsid w:val="00996DE8"/>
    <w:rsid w:val="00996F98"/>
    <w:rsid w:val="00997059"/>
    <w:rsid w:val="0099776B"/>
    <w:rsid w:val="00997F18"/>
    <w:rsid w:val="009A02BF"/>
    <w:rsid w:val="009A036D"/>
    <w:rsid w:val="009A0397"/>
    <w:rsid w:val="009A0B3C"/>
    <w:rsid w:val="009A14FF"/>
    <w:rsid w:val="009A325E"/>
    <w:rsid w:val="009A341D"/>
    <w:rsid w:val="009A3814"/>
    <w:rsid w:val="009A3BB6"/>
    <w:rsid w:val="009A44CB"/>
    <w:rsid w:val="009A54D1"/>
    <w:rsid w:val="009A5526"/>
    <w:rsid w:val="009A5768"/>
    <w:rsid w:val="009A5E3D"/>
    <w:rsid w:val="009A6069"/>
    <w:rsid w:val="009A6B19"/>
    <w:rsid w:val="009A6D13"/>
    <w:rsid w:val="009A6E79"/>
    <w:rsid w:val="009A721E"/>
    <w:rsid w:val="009A7440"/>
    <w:rsid w:val="009A7457"/>
    <w:rsid w:val="009B08C7"/>
    <w:rsid w:val="009B16A9"/>
    <w:rsid w:val="009B1783"/>
    <w:rsid w:val="009B1C9E"/>
    <w:rsid w:val="009B1D1A"/>
    <w:rsid w:val="009B2BEA"/>
    <w:rsid w:val="009B3025"/>
    <w:rsid w:val="009B3324"/>
    <w:rsid w:val="009B339D"/>
    <w:rsid w:val="009B3415"/>
    <w:rsid w:val="009B38DB"/>
    <w:rsid w:val="009B38ED"/>
    <w:rsid w:val="009B4CC4"/>
    <w:rsid w:val="009B561B"/>
    <w:rsid w:val="009B5633"/>
    <w:rsid w:val="009B5EE1"/>
    <w:rsid w:val="009B633D"/>
    <w:rsid w:val="009B71F6"/>
    <w:rsid w:val="009B7457"/>
    <w:rsid w:val="009B7657"/>
    <w:rsid w:val="009B7903"/>
    <w:rsid w:val="009B7A2D"/>
    <w:rsid w:val="009B7A75"/>
    <w:rsid w:val="009B7AF4"/>
    <w:rsid w:val="009B7D61"/>
    <w:rsid w:val="009C0190"/>
    <w:rsid w:val="009C019F"/>
    <w:rsid w:val="009C0553"/>
    <w:rsid w:val="009C077C"/>
    <w:rsid w:val="009C07A9"/>
    <w:rsid w:val="009C0868"/>
    <w:rsid w:val="009C0CF5"/>
    <w:rsid w:val="009C11CB"/>
    <w:rsid w:val="009C12C6"/>
    <w:rsid w:val="009C1AE0"/>
    <w:rsid w:val="009C2144"/>
    <w:rsid w:val="009C21A5"/>
    <w:rsid w:val="009C2CDF"/>
    <w:rsid w:val="009C2FE4"/>
    <w:rsid w:val="009C3894"/>
    <w:rsid w:val="009C4797"/>
    <w:rsid w:val="009C479E"/>
    <w:rsid w:val="009C47D2"/>
    <w:rsid w:val="009C5C88"/>
    <w:rsid w:val="009C5C9A"/>
    <w:rsid w:val="009C61EA"/>
    <w:rsid w:val="009C6C14"/>
    <w:rsid w:val="009C7585"/>
    <w:rsid w:val="009C7700"/>
    <w:rsid w:val="009C7957"/>
    <w:rsid w:val="009D06B6"/>
    <w:rsid w:val="009D11ED"/>
    <w:rsid w:val="009D13CE"/>
    <w:rsid w:val="009D1417"/>
    <w:rsid w:val="009D1E3B"/>
    <w:rsid w:val="009D2460"/>
    <w:rsid w:val="009D24F4"/>
    <w:rsid w:val="009D2533"/>
    <w:rsid w:val="009D259F"/>
    <w:rsid w:val="009D25BB"/>
    <w:rsid w:val="009D2A0E"/>
    <w:rsid w:val="009D2F08"/>
    <w:rsid w:val="009D3128"/>
    <w:rsid w:val="009D3A46"/>
    <w:rsid w:val="009D407C"/>
    <w:rsid w:val="009D42C3"/>
    <w:rsid w:val="009D520F"/>
    <w:rsid w:val="009D53BF"/>
    <w:rsid w:val="009D5F3D"/>
    <w:rsid w:val="009D5FAC"/>
    <w:rsid w:val="009D61F1"/>
    <w:rsid w:val="009D6434"/>
    <w:rsid w:val="009D6E89"/>
    <w:rsid w:val="009D704F"/>
    <w:rsid w:val="009D7347"/>
    <w:rsid w:val="009D76D9"/>
    <w:rsid w:val="009D7B31"/>
    <w:rsid w:val="009E03E5"/>
    <w:rsid w:val="009E0541"/>
    <w:rsid w:val="009E0600"/>
    <w:rsid w:val="009E0743"/>
    <w:rsid w:val="009E0D38"/>
    <w:rsid w:val="009E0FB8"/>
    <w:rsid w:val="009E12FD"/>
    <w:rsid w:val="009E156B"/>
    <w:rsid w:val="009E15CE"/>
    <w:rsid w:val="009E1890"/>
    <w:rsid w:val="009E191C"/>
    <w:rsid w:val="009E1BF8"/>
    <w:rsid w:val="009E250D"/>
    <w:rsid w:val="009E2A9B"/>
    <w:rsid w:val="009E3257"/>
    <w:rsid w:val="009E3691"/>
    <w:rsid w:val="009E377F"/>
    <w:rsid w:val="009E406C"/>
    <w:rsid w:val="009E41AA"/>
    <w:rsid w:val="009E41E4"/>
    <w:rsid w:val="009E45DC"/>
    <w:rsid w:val="009E4E96"/>
    <w:rsid w:val="009E539E"/>
    <w:rsid w:val="009E5562"/>
    <w:rsid w:val="009E5EC9"/>
    <w:rsid w:val="009E63EE"/>
    <w:rsid w:val="009E640C"/>
    <w:rsid w:val="009E6B1E"/>
    <w:rsid w:val="009E6F43"/>
    <w:rsid w:val="009E7133"/>
    <w:rsid w:val="009E71FD"/>
    <w:rsid w:val="009E7268"/>
    <w:rsid w:val="009E7CE9"/>
    <w:rsid w:val="009F02D4"/>
    <w:rsid w:val="009F170A"/>
    <w:rsid w:val="009F18D7"/>
    <w:rsid w:val="009F1C9F"/>
    <w:rsid w:val="009F24BE"/>
    <w:rsid w:val="009F3493"/>
    <w:rsid w:val="009F34AA"/>
    <w:rsid w:val="009F372F"/>
    <w:rsid w:val="009F3AC5"/>
    <w:rsid w:val="009F4082"/>
    <w:rsid w:val="009F408E"/>
    <w:rsid w:val="009F4502"/>
    <w:rsid w:val="009F46A5"/>
    <w:rsid w:val="009F4A88"/>
    <w:rsid w:val="009F4AF3"/>
    <w:rsid w:val="009F5711"/>
    <w:rsid w:val="009F617E"/>
    <w:rsid w:val="009F6879"/>
    <w:rsid w:val="009F6D0A"/>
    <w:rsid w:val="009F71CF"/>
    <w:rsid w:val="009F7330"/>
    <w:rsid w:val="009F7482"/>
    <w:rsid w:val="009F774C"/>
    <w:rsid w:val="009F7E24"/>
    <w:rsid w:val="00A00564"/>
    <w:rsid w:val="00A006E7"/>
    <w:rsid w:val="00A00982"/>
    <w:rsid w:val="00A00A69"/>
    <w:rsid w:val="00A021F3"/>
    <w:rsid w:val="00A0239F"/>
    <w:rsid w:val="00A026AF"/>
    <w:rsid w:val="00A02B38"/>
    <w:rsid w:val="00A02E6F"/>
    <w:rsid w:val="00A03731"/>
    <w:rsid w:val="00A03EE2"/>
    <w:rsid w:val="00A04E3E"/>
    <w:rsid w:val="00A05AB6"/>
    <w:rsid w:val="00A05B8E"/>
    <w:rsid w:val="00A061DD"/>
    <w:rsid w:val="00A062F2"/>
    <w:rsid w:val="00A0645C"/>
    <w:rsid w:val="00A06C56"/>
    <w:rsid w:val="00A06F92"/>
    <w:rsid w:val="00A07215"/>
    <w:rsid w:val="00A077A1"/>
    <w:rsid w:val="00A079BF"/>
    <w:rsid w:val="00A07AEC"/>
    <w:rsid w:val="00A07F43"/>
    <w:rsid w:val="00A07FA3"/>
    <w:rsid w:val="00A101AA"/>
    <w:rsid w:val="00A105EE"/>
    <w:rsid w:val="00A108CF"/>
    <w:rsid w:val="00A10EF8"/>
    <w:rsid w:val="00A11091"/>
    <w:rsid w:val="00A11136"/>
    <w:rsid w:val="00A112FB"/>
    <w:rsid w:val="00A1174F"/>
    <w:rsid w:val="00A12515"/>
    <w:rsid w:val="00A12A1F"/>
    <w:rsid w:val="00A13637"/>
    <w:rsid w:val="00A1375C"/>
    <w:rsid w:val="00A13CB5"/>
    <w:rsid w:val="00A13D48"/>
    <w:rsid w:val="00A13F57"/>
    <w:rsid w:val="00A14147"/>
    <w:rsid w:val="00A14696"/>
    <w:rsid w:val="00A147B4"/>
    <w:rsid w:val="00A14E0D"/>
    <w:rsid w:val="00A15185"/>
    <w:rsid w:val="00A15A46"/>
    <w:rsid w:val="00A15B15"/>
    <w:rsid w:val="00A15B51"/>
    <w:rsid w:val="00A15CEC"/>
    <w:rsid w:val="00A16000"/>
    <w:rsid w:val="00A1650A"/>
    <w:rsid w:val="00A168A5"/>
    <w:rsid w:val="00A16BF0"/>
    <w:rsid w:val="00A17183"/>
    <w:rsid w:val="00A17509"/>
    <w:rsid w:val="00A1793F"/>
    <w:rsid w:val="00A2059A"/>
    <w:rsid w:val="00A207CA"/>
    <w:rsid w:val="00A2089F"/>
    <w:rsid w:val="00A209F0"/>
    <w:rsid w:val="00A20C06"/>
    <w:rsid w:val="00A211F0"/>
    <w:rsid w:val="00A21217"/>
    <w:rsid w:val="00A2130F"/>
    <w:rsid w:val="00A217D1"/>
    <w:rsid w:val="00A21931"/>
    <w:rsid w:val="00A21DC4"/>
    <w:rsid w:val="00A21F45"/>
    <w:rsid w:val="00A21F80"/>
    <w:rsid w:val="00A222F6"/>
    <w:rsid w:val="00A22530"/>
    <w:rsid w:val="00A2268B"/>
    <w:rsid w:val="00A22C08"/>
    <w:rsid w:val="00A22D83"/>
    <w:rsid w:val="00A233A9"/>
    <w:rsid w:val="00A23462"/>
    <w:rsid w:val="00A2376F"/>
    <w:rsid w:val="00A23FEB"/>
    <w:rsid w:val="00A24252"/>
    <w:rsid w:val="00A2425B"/>
    <w:rsid w:val="00A2470D"/>
    <w:rsid w:val="00A24DA2"/>
    <w:rsid w:val="00A24E88"/>
    <w:rsid w:val="00A257A3"/>
    <w:rsid w:val="00A2592B"/>
    <w:rsid w:val="00A262D2"/>
    <w:rsid w:val="00A27A8D"/>
    <w:rsid w:val="00A27FF6"/>
    <w:rsid w:val="00A30C21"/>
    <w:rsid w:val="00A30E08"/>
    <w:rsid w:val="00A30E5A"/>
    <w:rsid w:val="00A324CF"/>
    <w:rsid w:val="00A32ABF"/>
    <w:rsid w:val="00A332D4"/>
    <w:rsid w:val="00A33501"/>
    <w:rsid w:val="00A336FD"/>
    <w:rsid w:val="00A340DB"/>
    <w:rsid w:val="00A34525"/>
    <w:rsid w:val="00A34B4A"/>
    <w:rsid w:val="00A34E49"/>
    <w:rsid w:val="00A35C8C"/>
    <w:rsid w:val="00A36878"/>
    <w:rsid w:val="00A3726E"/>
    <w:rsid w:val="00A400B5"/>
    <w:rsid w:val="00A4046D"/>
    <w:rsid w:val="00A40BF6"/>
    <w:rsid w:val="00A412FD"/>
    <w:rsid w:val="00A41408"/>
    <w:rsid w:val="00A41474"/>
    <w:rsid w:val="00A42118"/>
    <w:rsid w:val="00A4279F"/>
    <w:rsid w:val="00A43119"/>
    <w:rsid w:val="00A43398"/>
    <w:rsid w:val="00A43698"/>
    <w:rsid w:val="00A4389E"/>
    <w:rsid w:val="00A43AC6"/>
    <w:rsid w:val="00A43CFF"/>
    <w:rsid w:val="00A43FCB"/>
    <w:rsid w:val="00A44627"/>
    <w:rsid w:val="00A4499A"/>
    <w:rsid w:val="00A44A05"/>
    <w:rsid w:val="00A45731"/>
    <w:rsid w:val="00A45CF7"/>
    <w:rsid w:val="00A45D31"/>
    <w:rsid w:val="00A45E66"/>
    <w:rsid w:val="00A46716"/>
    <w:rsid w:val="00A469E6"/>
    <w:rsid w:val="00A46D71"/>
    <w:rsid w:val="00A46DAD"/>
    <w:rsid w:val="00A47005"/>
    <w:rsid w:val="00A47160"/>
    <w:rsid w:val="00A47318"/>
    <w:rsid w:val="00A477B3"/>
    <w:rsid w:val="00A47B42"/>
    <w:rsid w:val="00A5026E"/>
    <w:rsid w:val="00A507F0"/>
    <w:rsid w:val="00A51362"/>
    <w:rsid w:val="00A513BB"/>
    <w:rsid w:val="00A513C4"/>
    <w:rsid w:val="00A51AE9"/>
    <w:rsid w:val="00A51B29"/>
    <w:rsid w:val="00A51D47"/>
    <w:rsid w:val="00A5234D"/>
    <w:rsid w:val="00A52D1F"/>
    <w:rsid w:val="00A52F7A"/>
    <w:rsid w:val="00A53096"/>
    <w:rsid w:val="00A531DA"/>
    <w:rsid w:val="00A53749"/>
    <w:rsid w:val="00A54179"/>
    <w:rsid w:val="00A54E5C"/>
    <w:rsid w:val="00A55166"/>
    <w:rsid w:val="00A553A3"/>
    <w:rsid w:val="00A555A6"/>
    <w:rsid w:val="00A55919"/>
    <w:rsid w:val="00A56004"/>
    <w:rsid w:val="00A5679B"/>
    <w:rsid w:val="00A56DC0"/>
    <w:rsid w:val="00A572E9"/>
    <w:rsid w:val="00A57338"/>
    <w:rsid w:val="00A57498"/>
    <w:rsid w:val="00A603CF"/>
    <w:rsid w:val="00A6054B"/>
    <w:rsid w:val="00A60CF7"/>
    <w:rsid w:val="00A61F6C"/>
    <w:rsid w:val="00A62917"/>
    <w:rsid w:val="00A62965"/>
    <w:rsid w:val="00A62997"/>
    <w:rsid w:val="00A62AB1"/>
    <w:rsid w:val="00A62B4B"/>
    <w:rsid w:val="00A6309D"/>
    <w:rsid w:val="00A6323F"/>
    <w:rsid w:val="00A6363F"/>
    <w:rsid w:val="00A63738"/>
    <w:rsid w:val="00A637F9"/>
    <w:rsid w:val="00A6381E"/>
    <w:rsid w:val="00A6399B"/>
    <w:rsid w:val="00A63B8C"/>
    <w:rsid w:val="00A63BAC"/>
    <w:rsid w:val="00A63BDB"/>
    <w:rsid w:val="00A63D6A"/>
    <w:rsid w:val="00A64046"/>
    <w:rsid w:val="00A648DC"/>
    <w:rsid w:val="00A64D63"/>
    <w:rsid w:val="00A64D6B"/>
    <w:rsid w:val="00A65115"/>
    <w:rsid w:val="00A65608"/>
    <w:rsid w:val="00A65B1C"/>
    <w:rsid w:val="00A65CE6"/>
    <w:rsid w:val="00A65DA2"/>
    <w:rsid w:val="00A65F96"/>
    <w:rsid w:val="00A66202"/>
    <w:rsid w:val="00A66613"/>
    <w:rsid w:val="00A66A3B"/>
    <w:rsid w:val="00A6707D"/>
    <w:rsid w:val="00A6723D"/>
    <w:rsid w:val="00A67D99"/>
    <w:rsid w:val="00A67E22"/>
    <w:rsid w:val="00A7029D"/>
    <w:rsid w:val="00A70553"/>
    <w:rsid w:val="00A70758"/>
    <w:rsid w:val="00A707AF"/>
    <w:rsid w:val="00A70977"/>
    <w:rsid w:val="00A70D88"/>
    <w:rsid w:val="00A710C3"/>
    <w:rsid w:val="00A71327"/>
    <w:rsid w:val="00A7202D"/>
    <w:rsid w:val="00A72143"/>
    <w:rsid w:val="00A72399"/>
    <w:rsid w:val="00A731F7"/>
    <w:rsid w:val="00A734DD"/>
    <w:rsid w:val="00A7352F"/>
    <w:rsid w:val="00A735FA"/>
    <w:rsid w:val="00A73722"/>
    <w:rsid w:val="00A73730"/>
    <w:rsid w:val="00A73BEC"/>
    <w:rsid w:val="00A742D5"/>
    <w:rsid w:val="00A7577F"/>
    <w:rsid w:val="00A75A7B"/>
    <w:rsid w:val="00A75C0C"/>
    <w:rsid w:val="00A75C6B"/>
    <w:rsid w:val="00A76701"/>
    <w:rsid w:val="00A76BF7"/>
    <w:rsid w:val="00A76D3E"/>
    <w:rsid w:val="00A76DC5"/>
    <w:rsid w:val="00A80D90"/>
    <w:rsid w:val="00A8101F"/>
    <w:rsid w:val="00A81AD5"/>
    <w:rsid w:val="00A81DB5"/>
    <w:rsid w:val="00A8235C"/>
    <w:rsid w:val="00A834B8"/>
    <w:rsid w:val="00A8385B"/>
    <w:rsid w:val="00A83BCE"/>
    <w:rsid w:val="00A83C8F"/>
    <w:rsid w:val="00A84E33"/>
    <w:rsid w:val="00A84E7B"/>
    <w:rsid w:val="00A850C2"/>
    <w:rsid w:val="00A8562E"/>
    <w:rsid w:val="00A85669"/>
    <w:rsid w:val="00A85BCC"/>
    <w:rsid w:val="00A86034"/>
    <w:rsid w:val="00A86190"/>
    <w:rsid w:val="00A86734"/>
    <w:rsid w:val="00A869C4"/>
    <w:rsid w:val="00A869DD"/>
    <w:rsid w:val="00A87AD6"/>
    <w:rsid w:val="00A87B06"/>
    <w:rsid w:val="00A904E3"/>
    <w:rsid w:val="00A90769"/>
    <w:rsid w:val="00A908FF"/>
    <w:rsid w:val="00A90972"/>
    <w:rsid w:val="00A90A65"/>
    <w:rsid w:val="00A90ABB"/>
    <w:rsid w:val="00A90BF2"/>
    <w:rsid w:val="00A91061"/>
    <w:rsid w:val="00A910F7"/>
    <w:rsid w:val="00A913F0"/>
    <w:rsid w:val="00A91573"/>
    <w:rsid w:val="00A91D8D"/>
    <w:rsid w:val="00A922BD"/>
    <w:rsid w:val="00A9382E"/>
    <w:rsid w:val="00A943EB"/>
    <w:rsid w:val="00A9457A"/>
    <w:rsid w:val="00A94FA1"/>
    <w:rsid w:val="00A95049"/>
    <w:rsid w:val="00A95440"/>
    <w:rsid w:val="00A95FA9"/>
    <w:rsid w:val="00A96064"/>
    <w:rsid w:val="00A96080"/>
    <w:rsid w:val="00A96263"/>
    <w:rsid w:val="00A969A6"/>
    <w:rsid w:val="00A96BC5"/>
    <w:rsid w:val="00A972E0"/>
    <w:rsid w:val="00A97585"/>
    <w:rsid w:val="00A9782C"/>
    <w:rsid w:val="00A97A17"/>
    <w:rsid w:val="00A97A64"/>
    <w:rsid w:val="00A97C6D"/>
    <w:rsid w:val="00A97D32"/>
    <w:rsid w:val="00A97FC9"/>
    <w:rsid w:val="00AA05E4"/>
    <w:rsid w:val="00AA0D32"/>
    <w:rsid w:val="00AA12D7"/>
    <w:rsid w:val="00AA16D4"/>
    <w:rsid w:val="00AA1776"/>
    <w:rsid w:val="00AA19B8"/>
    <w:rsid w:val="00AA1B52"/>
    <w:rsid w:val="00AA1BA3"/>
    <w:rsid w:val="00AA2332"/>
    <w:rsid w:val="00AA2621"/>
    <w:rsid w:val="00AA2691"/>
    <w:rsid w:val="00AA2D7B"/>
    <w:rsid w:val="00AA31A8"/>
    <w:rsid w:val="00AA3F4B"/>
    <w:rsid w:val="00AA4217"/>
    <w:rsid w:val="00AA4382"/>
    <w:rsid w:val="00AA4AB0"/>
    <w:rsid w:val="00AA4CA7"/>
    <w:rsid w:val="00AA4DC2"/>
    <w:rsid w:val="00AA6425"/>
    <w:rsid w:val="00AA6988"/>
    <w:rsid w:val="00AA7555"/>
    <w:rsid w:val="00AA75C0"/>
    <w:rsid w:val="00AA76BB"/>
    <w:rsid w:val="00AA78C3"/>
    <w:rsid w:val="00AB0727"/>
    <w:rsid w:val="00AB07A6"/>
    <w:rsid w:val="00AB187D"/>
    <w:rsid w:val="00AB1C00"/>
    <w:rsid w:val="00AB240A"/>
    <w:rsid w:val="00AB3279"/>
    <w:rsid w:val="00AB3674"/>
    <w:rsid w:val="00AB3CFC"/>
    <w:rsid w:val="00AB4474"/>
    <w:rsid w:val="00AB4B79"/>
    <w:rsid w:val="00AB4CC6"/>
    <w:rsid w:val="00AB5386"/>
    <w:rsid w:val="00AB5DBD"/>
    <w:rsid w:val="00AB6053"/>
    <w:rsid w:val="00AB6304"/>
    <w:rsid w:val="00AB6D88"/>
    <w:rsid w:val="00AB7526"/>
    <w:rsid w:val="00AB779E"/>
    <w:rsid w:val="00AB77CB"/>
    <w:rsid w:val="00AB7BC0"/>
    <w:rsid w:val="00AB7F50"/>
    <w:rsid w:val="00AC054C"/>
    <w:rsid w:val="00AC063F"/>
    <w:rsid w:val="00AC091F"/>
    <w:rsid w:val="00AC0930"/>
    <w:rsid w:val="00AC0972"/>
    <w:rsid w:val="00AC0C6D"/>
    <w:rsid w:val="00AC0DD9"/>
    <w:rsid w:val="00AC0FEB"/>
    <w:rsid w:val="00AC1170"/>
    <w:rsid w:val="00AC141B"/>
    <w:rsid w:val="00AC19FD"/>
    <w:rsid w:val="00AC208E"/>
    <w:rsid w:val="00AC2237"/>
    <w:rsid w:val="00AC2336"/>
    <w:rsid w:val="00AC29E6"/>
    <w:rsid w:val="00AC2A88"/>
    <w:rsid w:val="00AC312F"/>
    <w:rsid w:val="00AC3768"/>
    <w:rsid w:val="00AC3AA6"/>
    <w:rsid w:val="00AC3E43"/>
    <w:rsid w:val="00AC434D"/>
    <w:rsid w:val="00AC4825"/>
    <w:rsid w:val="00AC4F21"/>
    <w:rsid w:val="00AC4F8B"/>
    <w:rsid w:val="00AC50E0"/>
    <w:rsid w:val="00AC5212"/>
    <w:rsid w:val="00AC590F"/>
    <w:rsid w:val="00AC5AFE"/>
    <w:rsid w:val="00AC5F42"/>
    <w:rsid w:val="00AC6208"/>
    <w:rsid w:val="00AC6824"/>
    <w:rsid w:val="00AC69C7"/>
    <w:rsid w:val="00AC7267"/>
    <w:rsid w:val="00AC7309"/>
    <w:rsid w:val="00AC73CF"/>
    <w:rsid w:val="00AC74AB"/>
    <w:rsid w:val="00AC77CE"/>
    <w:rsid w:val="00AC7B8C"/>
    <w:rsid w:val="00AC7E39"/>
    <w:rsid w:val="00AC7E81"/>
    <w:rsid w:val="00AC7ED5"/>
    <w:rsid w:val="00AD0522"/>
    <w:rsid w:val="00AD0F1E"/>
    <w:rsid w:val="00AD0FF9"/>
    <w:rsid w:val="00AD10FD"/>
    <w:rsid w:val="00AD1588"/>
    <w:rsid w:val="00AD1C50"/>
    <w:rsid w:val="00AD1DBC"/>
    <w:rsid w:val="00AD2339"/>
    <w:rsid w:val="00AD256D"/>
    <w:rsid w:val="00AD2889"/>
    <w:rsid w:val="00AD2AD8"/>
    <w:rsid w:val="00AD3157"/>
    <w:rsid w:val="00AD4229"/>
    <w:rsid w:val="00AD46FD"/>
    <w:rsid w:val="00AD4ABA"/>
    <w:rsid w:val="00AD4AEA"/>
    <w:rsid w:val="00AD5509"/>
    <w:rsid w:val="00AD5B1E"/>
    <w:rsid w:val="00AD60F7"/>
    <w:rsid w:val="00AD6291"/>
    <w:rsid w:val="00AD6510"/>
    <w:rsid w:val="00AD6C4A"/>
    <w:rsid w:val="00AD77D1"/>
    <w:rsid w:val="00AD78B5"/>
    <w:rsid w:val="00AE00CC"/>
    <w:rsid w:val="00AE0651"/>
    <w:rsid w:val="00AE068E"/>
    <w:rsid w:val="00AE0D6A"/>
    <w:rsid w:val="00AE0E34"/>
    <w:rsid w:val="00AE0ED6"/>
    <w:rsid w:val="00AE167F"/>
    <w:rsid w:val="00AE173B"/>
    <w:rsid w:val="00AE17E1"/>
    <w:rsid w:val="00AE1C24"/>
    <w:rsid w:val="00AE2501"/>
    <w:rsid w:val="00AE28B9"/>
    <w:rsid w:val="00AE30E5"/>
    <w:rsid w:val="00AE3811"/>
    <w:rsid w:val="00AE3A8E"/>
    <w:rsid w:val="00AE40C1"/>
    <w:rsid w:val="00AE45F1"/>
    <w:rsid w:val="00AE46C9"/>
    <w:rsid w:val="00AE4910"/>
    <w:rsid w:val="00AE4B08"/>
    <w:rsid w:val="00AE4B4F"/>
    <w:rsid w:val="00AE50A7"/>
    <w:rsid w:val="00AE5184"/>
    <w:rsid w:val="00AE51AD"/>
    <w:rsid w:val="00AE5413"/>
    <w:rsid w:val="00AE62BB"/>
    <w:rsid w:val="00AE6469"/>
    <w:rsid w:val="00AE67B8"/>
    <w:rsid w:val="00AE7019"/>
    <w:rsid w:val="00AE704B"/>
    <w:rsid w:val="00AE7368"/>
    <w:rsid w:val="00AE7398"/>
    <w:rsid w:val="00AE75C2"/>
    <w:rsid w:val="00AE7864"/>
    <w:rsid w:val="00AE7CFD"/>
    <w:rsid w:val="00AF0672"/>
    <w:rsid w:val="00AF08D0"/>
    <w:rsid w:val="00AF0961"/>
    <w:rsid w:val="00AF10AB"/>
    <w:rsid w:val="00AF3028"/>
    <w:rsid w:val="00AF333C"/>
    <w:rsid w:val="00AF3BA7"/>
    <w:rsid w:val="00AF3DC7"/>
    <w:rsid w:val="00AF44D4"/>
    <w:rsid w:val="00AF56BF"/>
    <w:rsid w:val="00AF5892"/>
    <w:rsid w:val="00AF6113"/>
    <w:rsid w:val="00AF61D3"/>
    <w:rsid w:val="00AF6773"/>
    <w:rsid w:val="00AF6A49"/>
    <w:rsid w:val="00AF737B"/>
    <w:rsid w:val="00AF752F"/>
    <w:rsid w:val="00AF7B83"/>
    <w:rsid w:val="00AF7BE5"/>
    <w:rsid w:val="00AF7F52"/>
    <w:rsid w:val="00B00153"/>
    <w:rsid w:val="00B0066F"/>
    <w:rsid w:val="00B006CB"/>
    <w:rsid w:val="00B00861"/>
    <w:rsid w:val="00B00A47"/>
    <w:rsid w:val="00B00A98"/>
    <w:rsid w:val="00B00EF1"/>
    <w:rsid w:val="00B0184D"/>
    <w:rsid w:val="00B01F4B"/>
    <w:rsid w:val="00B01FF6"/>
    <w:rsid w:val="00B02355"/>
    <w:rsid w:val="00B02C95"/>
    <w:rsid w:val="00B030F5"/>
    <w:rsid w:val="00B03647"/>
    <w:rsid w:val="00B04627"/>
    <w:rsid w:val="00B04660"/>
    <w:rsid w:val="00B048E9"/>
    <w:rsid w:val="00B049CF"/>
    <w:rsid w:val="00B057F5"/>
    <w:rsid w:val="00B05C12"/>
    <w:rsid w:val="00B06176"/>
    <w:rsid w:val="00B06179"/>
    <w:rsid w:val="00B066DF"/>
    <w:rsid w:val="00B06744"/>
    <w:rsid w:val="00B06B64"/>
    <w:rsid w:val="00B06BDE"/>
    <w:rsid w:val="00B072C1"/>
    <w:rsid w:val="00B072D6"/>
    <w:rsid w:val="00B079DE"/>
    <w:rsid w:val="00B07A0D"/>
    <w:rsid w:val="00B10032"/>
    <w:rsid w:val="00B10058"/>
    <w:rsid w:val="00B10166"/>
    <w:rsid w:val="00B103E0"/>
    <w:rsid w:val="00B10AA3"/>
    <w:rsid w:val="00B10D20"/>
    <w:rsid w:val="00B10E19"/>
    <w:rsid w:val="00B11098"/>
    <w:rsid w:val="00B11459"/>
    <w:rsid w:val="00B11C15"/>
    <w:rsid w:val="00B11D49"/>
    <w:rsid w:val="00B12177"/>
    <w:rsid w:val="00B12358"/>
    <w:rsid w:val="00B1292A"/>
    <w:rsid w:val="00B12AE1"/>
    <w:rsid w:val="00B13157"/>
    <w:rsid w:val="00B138D0"/>
    <w:rsid w:val="00B13CFC"/>
    <w:rsid w:val="00B13F19"/>
    <w:rsid w:val="00B141FB"/>
    <w:rsid w:val="00B145C8"/>
    <w:rsid w:val="00B147C4"/>
    <w:rsid w:val="00B1510D"/>
    <w:rsid w:val="00B15302"/>
    <w:rsid w:val="00B15532"/>
    <w:rsid w:val="00B1557D"/>
    <w:rsid w:val="00B15A89"/>
    <w:rsid w:val="00B15FA9"/>
    <w:rsid w:val="00B16358"/>
    <w:rsid w:val="00B16B8B"/>
    <w:rsid w:val="00B16D7F"/>
    <w:rsid w:val="00B1717C"/>
    <w:rsid w:val="00B17346"/>
    <w:rsid w:val="00B17DAA"/>
    <w:rsid w:val="00B20549"/>
    <w:rsid w:val="00B20623"/>
    <w:rsid w:val="00B208FE"/>
    <w:rsid w:val="00B20AAD"/>
    <w:rsid w:val="00B20F8B"/>
    <w:rsid w:val="00B21110"/>
    <w:rsid w:val="00B21931"/>
    <w:rsid w:val="00B21C18"/>
    <w:rsid w:val="00B22701"/>
    <w:rsid w:val="00B22883"/>
    <w:rsid w:val="00B22FA0"/>
    <w:rsid w:val="00B233A7"/>
    <w:rsid w:val="00B23555"/>
    <w:rsid w:val="00B236EE"/>
    <w:rsid w:val="00B2371A"/>
    <w:rsid w:val="00B2372F"/>
    <w:rsid w:val="00B23D1A"/>
    <w:rsid w:val="00B243D6"/>
    <w:rsid w:val="00B24BD6"/>
    <w:rsid w:val="00B25053"/>
    <w:rsid w:val="00B25504"/>
    <w:rsid w:val="00B25769"/>
    <w:rsid w:val="00B2576D"/>
    <w:rsid w:val="00B25878"/>
    <w:rsid w:val="00B26980"/>
    <w:rsid w:val="00B26A02"/>
    <w:rsid w:val="00B26EA0"/>
    <w:rsid w:val="00B27541"/>
    <w:rsid w:val="00B276F2"/>
    <w:rsid w:val="00B27C7F"/>
    <w:rsid w:val="00B302FC"/>
    <w:rsid w:val="00B30390"/>
    <w:rsid w:val="00B30709"/>
    <w:rsid w:val="00B30C0E"/>
    <w:rsid w:val="00B30D48"/>
    <w:rsid w:val="00B31993"/>
    <w:rsid w:val="00B319C7"/>
    <w:rsid w:val="00B3232C"/>
    <w:rsid w:val="00B32459"/>
    <w:rsid w:val="00B3252F"/>
    <w:rsid w:val="00B32935"/>
    <w:rsid w:val="00B33389"/>
    <w:rsid w:val="00B3384B"/>
    <w:rsid w:val="00B343FF"/>
    <w:rsid w:val="00B3454F"/>
    <w:rsid w:val="00B3472C"/>
    <w:rsid w:val="00B347E6"/>
    <w:rsid w:val="00B34C9F"/>
    <w:rsid w:val="00B3603E"/>
    <w:rsid w:val="00B36127"/>
    <w:rsid w:val="00B368AA"/>
    <w:rsid w:val="00B36A30"/>
    <w:rsid w:val="00B36E25"/>
    <w:rsid w:val="00B36F96"/>
    <w:rsid w:val="00B3780B"/>
    <w:rsid w:val="00B37C7B"/>
    <w:rsid w:val="00B37DBD"/>
    <w:rsid w:val="00B40A1B"/>
    <w:rsid w:val="00B40F0A"/>
    <w:rsid w:val="00B41748"/>
    <w:rsid w:val="00B41996"/>
    <w:rsid w:val="00B41C01"/>
    <w:rsid w:val="00B41D97"/>
    <w:rsid w:val="00B41E93"/>
    <w:rsid w:val="00B4203C"/>
    <w:rsid w:val="00B423E4"/>
    <w:rsid w:val="00B42445"/>
    <w:rsid w:val="00B42972"/>
    <w:rsid w:val="00B42A96"/>
    <w:rsid w:val="00B430F8"/>
    <w:rsid w:val="00B43289"/>
    <w:rsid w:val="00B434EF"/>
    <w:rsid w:val="00B43C3F"/>
    <w:rsid w:val="00B442DA"/>
    <w:rsid w:val="00B44818"/>
    <w:rsid w:val="00B44B71"/>
    <w:rsid w:val="00B44C99"/>
    <w:rsid w:val="00B45340"/>
    <w:rsid w:val="00B460C2"/>
    <w:rsid w:val="00B46596"/>
    <w:rsid w:val="00B46899"/>
    <w:rsid w:val="00B46DFB"/>
    <w:rsid w:val="00B471CD"/>
    <w:rsid w:val="00B473E8"/>
    <w:rsid w:val="00B4743E"/>
    <w:rsid w:val="00B479C4"/>
    <w:rsid w:val="00B47BCE"/>
    <w:rsid w:val="00B5041E"/>
    <w:rsid w:val="00B50581"/>
    <w:rsid w:val="00B509A0"/>
    <w:rsid w:val="00B50DE0"/>
    <w:rsid w:val="00B50F23"/>
    <w:rsid w:val="00B51329"/>
    <w:rsid w:val="00B51CEA"/>
    <w:rsid w:val="00B52015"/>
    <w:rsid w:val="00B52550"/>
    <w:rsid w:val="00B5261E"/>
    <w:rsid w:val="00B52C67"/>
    <w:rsid w:val="00B546C1"/>
    <w:rsid w:val="00B54739"/>
    <w:rsid w:val="00B54AAF"/>
    <w:rsid w:val="00B54DF7"/>
    <w:rsid w:val="00B54FCA"/>
    <w:rsid w:val="00B552CF"/>
    <w:rsid w:val="00B552EC"/>
    <w:rsid w:val="00B56436"/>
    <w:rsid w:val="00B5662F"/>
    <w:rsid w:val="00B56BEA"/>
    <w:rsid w:val="00B57354"/>
    <w:rsid w:val="00B577EF"/>
    <w:rsid w:val="00B577F0"/>
    <w:rsid w:val="00B57AC2"/>
    <w:rsid w:val="00B57B05"/>
    <w:rsid w:val="00B57E1F"/>
    <w:rsid w:val="00B60097"/>
    <w:rsid w:val="00B6025B"/>
    <w:rsid w:val="00B61A8F"/>
    <w:rsid w:val="00B61B37"/>
    <w:rsid w:val="00B62357"/>
    <w:rsid w:val="00B62B0F"/>
    <w:rsid w:val="00B6302D"/>
    <w:rsid w:val="00B63855"/>
    <w:rsid w:val="00B63AF9"/>
    <w:rsid w:val="00B63CDB"/>
    <w:rsid w:val="00B640E3"/>
    <w:rsid w:val="00B64364"/>
    <w:rsid w:val="00B64588"/>
    <w:rsid w:val="00B648FC"/>
    <w:rsid w:val="00B64DF9"/>
    <w:rsid w:val="00B64E92"/>
    <w:rsid w:val="00B6511B"/>
    <w:rsid w:val="00B6531B"/>
    <w:rsid w:val="00B65612"/>
    <w:rsid w:val="00B65B08"/>
    <w:rsid w:val="00B65E05"/>
    <w:rsid w:val="00B66411"/>
    <w:rsid w:val="00B664F8"/>
    <w:rsid w:val="00B6663B"/>
    <w:rsid w:val="00B6674F"/>
    <w:rsid w:val="00B668F7"/>
    <w:rsid w:val="00B66F9D"/>
    <w:rsid w:val="00B6704D"/>
    <w:rsid w:val="00B67542"/>
    <w:rsid w:val="00B676B0"/>
    <w:rsid w:val="00B679AF"/>
    <w:rsid w:val="00B67B5E"/>
    <w:rsid w:val="00B67B6D"/>
    <w:rsid w:val="00B70096"/>
    <w:rsid w:val="00B70186"/>
    <w:rsid w:val="00B703B6"/>
    <w:rsid w:val="00B70909"/>
    <w:rsid w:val="00B70D45"/>
    <w:rsid w:val="00B71547"/>
    <w:rsid w:val="00B71563"/>
    <w:rsid w:val="00B71FD0"/>
    <w:rsid w:val="00B72050"/>
    <w:rsid w:val="00B720CE"/>
    <w:rsid w:val="00B72269"/>
    <w:rsid w:val="00B7302E"/>
    <w:rsid w:val="00B734C7"/>
    <w:rsid w:val="00B73689"/>
    <w:rsid w:val="00B73C3A"/>
    <w:rsid w:val="00B73D12"/>
    <w:rsid w:val="00B7402B"/>
    <w:rsid w:val="00B74738"/>
    <w:rsid w:val="00B74A0D"/>
    <w:rsid w:val="00B74C6F"/>
    <w:rsid w:val="00B75684"/>
    <w:rsid w:val="00B7592D"/>
    <w:rsid w:val="00B75D04"/>
    <w:rsid w:val="00B75D98"/>
    <w:rsid w:val="00B7670C"/>
    <w:rsid w:val="00B76CF1"/>
    <w:rsid w:val="00B76E85"/>
    <w:rsid w:val="00B7729F"/>
    <w:rsid w:val="00B7753D"/>
    <w:rsid w:val="00B7799B"/>
    <w:rsid w:val="00B77ACC"/>
    <w:rsid w:val="00B804C2"/>
    <w:rsid w:val="00B80598"/>
    <w:rsid w:val="00B80B75"/>
    <w:rsid w:val="00B80CEB"/>
    <w:rsid w:val="00B81108"/>
    <w:rsid w:val="00B818A3"/>
    <w:rsid w:val="00B81B35"/>
    <w:rsid w:val="00B81D67"/>
    <w:rsid w:val="00B8309A"/>
    <w:rsid w:val="00B830D6"/>
    <w:rsid w:val="00B83782"/>
    <w:rsid w:val="00B83820"/>
    <w:rsid w:val="00B83CA2"/>
    <w:rsid w:val="00B8402A"/>
    <w:rsid w:val="00B8430F"/>
    <w:rsid w:val="00B847E0"/>
    <w:rsid w:val="00B84D6A"/>
    <w:rsid w:val="00B857D6"/>
    <w:rsid w:val="00B85CF6"/>
    <w:rsid w:val="00B85DD6"/>
    <w:rsid w:val="00B860CD"/>
    <w:rsid w:val="00B8618B"/>
    <w:rsid w:val="00B861DD"/>
    <w:rsid w:val="00B864B1"/>
    <w:rsid w:val="00B86C6E"/>
    <w:rsid w:val="00B86EFA"/>
    <w:rsid w:val="00B8780A"/>
    <w:rsid w:val="00B901EF"/>
    <w:rsid w:val="00B90267"/>
    <w:rsid w:val="00B9038C"/>
    <w:rsid w:val="00B90D1C"/>
    <w:rsid w:val="00B919B5"/>
    <w:rsid w:val="00B91AEE"/>
    <w:rsid w:val="00B91EFD"/>
    <w:rsid w:val="00B92375"/>
    <w:rsid w:val="00B923D7"/>
    <w:rsid w:val="00B9257F"/>
    <w:rsid w:val="00B92653"/>
    <w:rsid w:val="00B92820"/>
    <w:rsid w:val="00B92AB5"/>
    <w:rsid w:val="00B92EE5"/>
    <w:rsid w:val="00B9306F"/>
    <w:rsid w:val="00B9333F"/>
    <w:rsid w:val="00B933DF"/>
    <w:rsid w:val="00B936E7"/>
    <w:rsid w:val="00B93726"/>
    <w:rsid w:val="00B93EC8"/>
    <w:rsid w:val="00B94075"/>
    <w:rsid w:val="00B94089"/>
    <w:rsid w:val="00B9546D"/>
    <w:rsid w:val="00B95830"/>
    <w:rsid w:val="00B9646F"/>
    <w:rsid w:val="00B967CB"/>
    <w:rsid w:val="00B97339"/>
    <w:rsid w:val="00B97400"/>
    <w:rsid w:val="00B97C60"/>
    <w:rsid w:val="00B97D75"/>
    <w:rsid w:val="00BA041E"/>
    <w:rsid w:val="00BA0B0C"/>
    <w:rsid w:val="00BA15CA"/>
    <w:rsid w:val="00BA1B5B"/>
    <w:rsid w:val="00BA2B8F"/>
    <w:rsid w:val="00BA2C6D"/>
    <w:rsid w:val="00BA2DD5"/>
    <w:rsid w:val="00BA2E88"/>
    <w:rsid w:val="00BA329C"/>
    <w:rsid w:val="00BA330D"/>
    <w:rsid w:val="00BA3A06"/>
    <w:rsid w:val="00BA3A70"/>
    <w:rsid w:val="00BA3DA4"/>
    <w:rsid w:val="00BA41E5"/>
    <w:rsid w:val="00BA551A"/>
    <w:rsid w:val="00BA566B"/>
    <w:rsid w:val="00BA5692"/>
    <w:rsid w:val="00BA56E7"/>
    <w:rsid w:val="00BA58EE"/>
    <w:rsid w:val="00BA5966"/>
    <w:rsid w:val="00BA5D08"/>
    <w:rsid w:val="00BA5DC0"/>
    <w:rsid w:val="00BA654D"/>
    <w:rsid w:val="00BA66F1"/>
    <w:rsid w:val="00BA6A98"/>
    <w:rsid w:val="00BA6D6E"/>
    <w:rsid w:val="00BA6F48"/>
    <w:rsid w:val="00BA79A9"/>
    <w:rsid w:val="00BB08DC"/>
    <w:rsid w:val="00BB13AA"/>
    <w:rsid w:val="00BB1ED7"/>
    <w:rsid w:val="00BB1F18"/>
    <w:rsid w:val="00BB20D1"/>
    <w:rsid w:val="00BB261F"/>
    <w:rsid w:val="00BB268D"/>
    <w:rsid w:val="00BB2A2D"/>
    <w:rsid w:val="00BB2F54"/>
    <w:rsid w:val="00BB2FCC"/>
    <w:rsid w:val="00BB3296"/>
    <w:rsid w:val="00BB3480"/>
    <w:rsid w:val="00BB383F"/>
    <w:rsid w:val="00BB4327"/>
    <w:rsid w:val="00BB4CFF"/>
    <w:rsid w:val="00BB4DA3"/>
    <w:rsid w:val="00BB5340"/>
    <w:rsid w:val="00BB54DC"/>
    <w:rsid w:val="00BB5E5E"/>
    <w:rsid w:val="00BB67F9"/>
    <w:rsid w:val="00BB6DB4"/>
    <w:rsid w:val="00BB6F87"/>
    <w:rsid w:val="00BB7903"/>
    <w:rsid w:val="00BB7D49"/>
    <w:rsid w:val="00BC0089"/>
    <w:rsid w:val="00BC027C"/>
    <w:rsid w:val="00BC0792"/>
    <w:rsid w:val="00BC1174"/>
    <w:rsid w:val="00BC17EB"/>
    <w:rsid w:val="00BC2059"/>
    <w:rsid w:val="00BC30A4"/>
    <w:rsid w:val="00BC3402"/>
    <w:rsid w:val="00BC3F29"/>
    <w:rsid w:val="00BC40EB"/>
    <w:rsid w:val="00BC4237"/>
    <w:rsid w:val="00BC4601"/>
    <w:rsid w:val="00BC473F"/>
    <w:rsid w:val="00BC53FC"/>
    <w:rsid w:val="00BC5786"/>
    <w:rsid w:val="00BC58A0"/>
    <w:rsid w:val="00BC59E6"/>
    <w:rsid w:val="00BC5A41"/>
    <w:rsid w:val="00BC5D9A"/>
    <w:rsid w:val="00BC69CB"/>
    <w:rsid w:val="00BC6AE4"/>
    <w:rsid w:val="00BC6CC1"/>
    <w:rsid w:val="00BC7060"/>
    <w:rsid w:val="00BC7580"/>
    <w:rsid w:val="00BC79F9"/>
    <w:rsid w:val="00BC7A0D"/>
    <w:rsid w:val="00BC7BCA"/>
    <w:rsid w:val="00BD0107"/>
    <w:rsid w:val="00BD0110"/>
    <w:rsid w:val="00BD0314"/>
    <w:rsid w:val="00BD06DB"/>
    <w:rsid w:val="00BD088C"/>
    <w:rsid w:val="00BD096A"/>
    <w:rsid w:val="00BD09D0"/>
    <w:rsid w:val="00BD0C87"/>
    <w:rsid w:val="00BD1059"/>
    <w:rsid w:val="00BD16A7"/>
    <w:rsid w:val="00BD182D"/>
    <w:rsid w:val="00BD18E4"/>
    <w:rsid w:val="00BD1FFB"/>
    <w:rsid w:val="00BD2035"/>
    <w:rsid w:val="00BD215E"/>
    <w:rsid w:val="00BD2412"/>
    <w:rsid w:val="00BD25CD"/>
    <w:rsid w:val="00BD2EAC"/>
    <w:rsid w:val="00BD3696"/>
    <w:rsid w:val="00BD3AD2"/>
    <w:rsid w:val="00BD3CAB"/>
    <w:rsid w:val="00BD40EC"/>
    <w:rsid w:val="00BD4456"/>
    <w:rsid w:val="00BD47B4"/>
    <w:rsid w:val="00BD5522"/>
    <w:rsid w:val="00BD64C3"/>
    <w:rsid w:val="00BD6CAC"/>
    <w:rsid w:val="00BD6E57"/>
    <w:rsid w:val="00BD6FC3"/>
    <w:rsid w:val="00BD74B8"/>
    <w:rsid w:val="00BD7638"/>
    <w:rsid w:val="00BD789D"/>
    <w:rsid w:val="00BD7B42"/>
    <w:rsid w:val="00BE09FE"/>
    <w:rsid w:val="00BE0DD5"/>
    <w:rsid w:val="00BE0E47"/>
    <w:rsid w:val="00BE1016"/>
    <w:rsid w:val="00BE167E"/>
    <w:rsid w:val="00BE188B"/>
    <w:rsid w:val="00BE1919"/>
    <w:rsid w:val="00BE1BC5"/>
    <w:rsid w:val="00BE1E41"/>
    <w:rsid w:val="00BE1FBA"/>
    <w:rsid w:val="00BE2B67"/>
    <w:rsid w:val="00BE34EA"/>
    <w:rsid w:val="00BE37A2"/>
    <w:rsid w:val="00BE4200"/>
    <w:rsid w:val="00BE570B"/>
    <w:rsid w:val="00BE5756"/>
    <w:rsid w:val="00BE577B"/>
    <w:rsid w:val="00BE596D"/>
    <w:rsid w:val="00BE5A4C"/>
    <w:rsid w:val="00BE5D82"/>
    <w:rsid w:val="00BE688D"/>
    <w:rsid w:val="00BE6EDE"/>
    <w:rsid w:val="00BE6F0D"/>
    <w:rsid w:val="00BE7492"/>
    <w:rsid w:val="00BE758E"/>
    <w:rsid w:val="00BE77A4"/>
    <w:rsid w:val="00BE7BE8"/>
    <w:rsid w:val="00BE7D13"/>
    <w:rsid w:val="00BF062C"/>
    <w:rsid w:val="00BF095D"/>
    <w:rsid w:val="00BF0B0F"/>
    <w:rsid w:val="00BF0C27"/>
    <w:rsid w:val="00BF0CC6"/>
    <w:rsid w:val="00BF0E38"/>
    <w:rsid w:val="00BF1987"/>
    <w:rsid w:val="00BF2315"/>
    <w:rsid w:val="00BF2385"/>
    <w:rsid w:val="00BF2693"/>
    <w:rsid w:val="00BF2D06"/>
    <w:rsid w:val="00BF2D8C"/>
    <w:rsid w:val="00BF3554"/>
    <w:rsid w:val="00BF37B1"/>
    <w:rsid w:val="00BF38F7"/>
    <w:rsid w:val="00BF460A"/>
    <w:rsid w:val="00BF4808"/>
    <w:rsid w:val="00BF5643"/>
    <w:rsid w:val="00BF58E3"/>
    <w:rsid w:val="00BF5D09"/>
    <w:rsid w:val="00BF5E16"/>
    <w:rsid w:val="00BF5E91"/>
    <w:rsid w:val="00BF66DD"/>
    <w:rsid w:val="00BF6787"/>
    <w:rsid w:val="00BF6A79"/>
    <w:rsid w:val="00BF6E81"/>
    <w:rsid w:val="00BF77C5"/>
    <w:rsid w:val="00BF79A1"/>
    <w:rsid w:val="00BF7E2B"/>
    <w:rsid w:val="00C002D0"/>
    <w:rsid w:val="00C006CE"/>
    <w:rsid w:val="00C010BF"/>
    <w:rsid w:val="00C01919"/>
    <w:rsid w:val="00C03584"/>
    <w:rsid w:val="00C03625"/>
    <w:rsid w:val="00C036C1"/>
    <w:rsid w:val="00C03E56"/>
    <w:rsid w:val="00C04368"/>
    <w:rsid w:val="00C045CD"/>
    <w:rsid w:val="00C04890"/>
    <w:rsid w:val="00C04D6E"/>
    <w:rsid w:val="00C04E17"/>
    <w:rsid w:val="00C04E1A"/>
    <w:rsid w:val="00C05F0E"/>
    <w:rsid w:val="00C061D1"/>
    <w:rsid w:val="00C067D2"/>
    <w:rsid w:val="00C06DDC"/>
    <w:rsid w:val="00C073BA"/>
    <w:rsid w:val="00C075FB"/>
    <w:rsid w:val="00C07F19"/>
    <w:rsid w:val="00C10236"/>
    <w:rsid w:val="00C1031C"/>
    <w:rsid w:val="00C10797"/>
    <w:rsid w:val="00C10A64"/>
    <w:rsid w:val="00C10FAE"/>
    <w:rsid w:val="00C111C5"/>
    <w:rsid w:val="00C116A9"/>
    <w:rsid w:val="00C11756"/>
    <w:rsid w:val="00C11799"/>
    <w:rsid w:val="00C11A46"/>
    <w:rsid w:val="00C11ED8"/>
    <w:rsid w:val="00C1205B"/>
    <w:rsid w:val="00C12303"/>
    <w:rsid w:val="00C12411"/>
    <w:rsid w:val="00C1296F"/>
    <w:rsid w:val="00C12EF1"/>
    <w:rsid w:val="00C13018"/>
    <w:rsid w:val="00C13C1F"/>
    <w:rsid w:val="00C14001"/>
    <w:rsid w:val="00C141F7"/>
    <w:rsid w:val="00C1451A"/>
    <w:rsid w:val="00C1462F"/>
    <w:rsid w:val="00C14A4F"/>
    <w:rsid w:val="00C14E9D"/>
    <w:rsid w:val="00C14F9B"/>
    <w:rsid w:val="00C15D13"/>
    <w:rsid w:val="00C15D42"/>
    <w:rsid w:val="00C15EE7"/>
    <w:rsid w:val="00C1600E"/>
    <w:rsid w:val="00C1608C"/>
    <w:rsid w:val="00C164F3"/>
    <w:rsid w:val="00C167F6"/>
    <w:rsid w:val="00C16FD2"/>
    <w:rsid w:val="00C170E6"/>
    <w:rsid w:val="00C17184"/>
    <w:rsid w:val="00C175A2"/>
    <w:rsid w:val="00C17840"/>
    <w:rsid w:val="00C17B19"/>
    <w:rsid w:val="00C17BA8"/>
    <w:rsid w:val="00C20540"/>
    <w:rsid w:val="00C2054F"/>
    <w:rsid w:val="00C217CF"/>
    <w:rsid w:val="00C21D43"/>
    <w:rsid w:val="00C22221"/>
    <w:rsid w:val="00C2243C"/>
    <w:rsid w:val="00C22454"/>
    <w:rsid w:val="00C225E3"/>
    <w:rsid w:val="00C22652"/>
    <w:rsid w:val="00C22E6B"/>
    <w:rsid w:val="00C22FDE"/>
    <w:rsid w:val="00C23036"/>
    <w:rsid w:val="00C2303E"/>
    <w:rsid w:val="00C2344A"/>
    <w:rsid w:val="00C2360F"/>
    <w:rsid w:val="00C236FA"/>
    <w:rsid w:val="00C2426D"/>
    <w:rsid w:val="00C24EA1"/>
    <w:rsid w:val="00C24FC2"/>
    <w:rsid w:val="00C261AE"/>
    <w:rsid w:val="00C26286"/>
    <w:rsid w:val="00C2643F"/>
    <w:rsid w:val="00C27171"/>
    <w:rsid w:val="00C27496"/>
    <w:rsid w:val="00C275DF"/>
    <w:rsid w:val="00C277DC"/>
    <w:rsid w:val="00C30004"/>
    <w:rsid w:val="00C30091"/>
    <w:rsid w:val="00C3083B"/>
    <w:rsid w:val="00C30976"/>
    <w:rsid w:val="00C31347"/>
    <w:rsid w:val="00C314DB"/>
    <w:rsid w:val="00C31858"/>
    <w:rsid w:val="00C32600"/>
    <w:rsid w:val="00C3292E"/>
    <w:rsid w:val="00C32E48"/>
    <w:rsid w:val="00C33378"/>
    <w:rsid w:val="00C33867"/>
    <w:rsid w:val="00C338F5"/>
    <w:rsid w:val="00C34174"/>
    <w:rsid w:val="00C345C1"/>
    <w:rsid w:val="00C34A6D"/>
    <w:rsid w:val="00C34C98"/>
    <w:rsid w:val="00C34F13"/>
    <w:rsid w:val="00C353A2"/>
    <w:rsid w:val="00C36220"/>
    <w:rsid w:val="00C36620"/>
    <w:rsid w:val="00C36ACD"/>
    <w:rsid w:val="00C37168"/>
    <w:rsid w:val="00C3753D"/>
    <w:rsid w:val="00C37745"/>
    <w:rsid w:val="00C3776F"/>
    <w:rsid w:val="00C3788C"/>
    <w:rsid w:val="00C37C33"/>
    <w:rsid w:val="00C37C6B"/>
    <w:rsid w:val="00C404ED"/>
    <w:rsid w:val="00C4066E"/>
    <w:rsid w:val="00C40A1C"/>
    <w:rsid w:val="00C411B8"/>
    <w:rsid w:val="00C41766"/>
    <w:rsid w:val="00C42066"/>
    <w:rsid w:val="00C42517"/>
    <w:rsid w:val="00C42AA4"/>
    <w:rsid w:val="00C42F43"/>
    <w:rsid w:val="00C4412F"/>
    <w:rsid w:val="00C44160"/>
    <w:rsid w:val="00C443AB"/>
    <w:rsid w:val="00C44611"/>
    <w:rsid w:val="00C44D8F"/>
    <w:rsid w:val="00C4592B"/>
    <w:rsid w:val="00C462D8"/>
    <w:rsid w:val="00C46623"/>
    <w:rsid w:val="00C4678D"/>
    <w:rsid w:val="00C469FD"/>
    <w:rsid w:val="00C46EE8"/>
    <w:rsid w:val="00C47DC8"/>
    <w:rsid w:val="00C503B4"/>
    <w:rsid w:val="00C506E4"/>
    <w:rsid w:val="00C50B4E"/>
    <w:rsid w:val="00C50D49"/>
    <w:rsid w:val="00C51358"/>
    <w:rsid w:val="00C513B8"/>
    <w:rsid w:val="00C51762"/>
    <w:rsid w:val="00C51AD1"/>
    <w:rsid w:val="00C5249B"/>
    <w:rsid w:val="00C52982"/>
    <w:rsid w:val="00C52C56"/>
    <w:rsid w:val="00C52F9E"/>
    <w:rsid w:val="00C5322F"/>
    <w:rsid w:val="00C5362E"/>
    <w:rsid w:val="00C537DB"/>
    <w:rsid w:val="00C53927"/>
    <w:rsid w:val="00C53A07"/>
    <w:rsid w:val="00C53C78"/>
    <w:rsid w:val="00C53D2A"/>
    <w:rsid w:val="00C53D62"/>
    <w:rsid w:val="00C54761"/>
    <w:rsid w:val="00C551C5"/>
    <w:rsid w:val="00C55408"/>
    <w:rsid w:val="00C555BA"/>
    <w:rsid w:val="00C55D6E"/>
    <w:rsid w:val="00C5617F"/>
    <w:rsid w:val="00C56546"/>
    <w:rsid w:val="00C56579"/>
    <w:rsid w:val="00C565E7"/>
    <w:rsid w:val="00C56775"/>
    <w:rsid w:val="00C56C7D"/>
    <w:rsid w:val="00C57229"/>
    <w:rsid w:val="00C572ED"/>
    <w:rsid w:val="00C579D9"/>
    <w:rsid w:val="00C57EEB"/>
    <w:rsid w:val="00C57F1C"/>
    <w:rsid w:val="00C6004C"/>
    <w:rsid w:val="00C60627"/>
    <w:rsid w:val="00C60DDE"/>
    <w:rsid w:val="00C61372"/>
    <w:rsid w:val="00C6154E"/>
    <w:rsid w:val="00C617C2"/>
    <w:rsid w:val="00C61AB0"/>
    <w:rsid w:val="00C61B44"/>
    <w:rsid w:val="00C624E3"/>
    <w:rsid w:val="00C6265D"/>
    <w:rsid w:val="00C62926"/>
    <w:rsid w:val="00C6298B"/>
    <w:rsid w:val="00C62CF0"/>
    <w:rsid w:val="00C6330A"/>
    <w:rsid w:val="00C634F1"/>
    <w:rsid w:val="00C63567"/>
    <w:rsid w:val="00C63D91"/>
    <w:rsid w:val="00C642A0"/>
    <w:rsid w:val="00C6430B"/>
    <w:rsid w:val="00C64367"/>
    <w:rsid w:val="00C648AE"/>
    <w:rsid w:val="00C648DE"/>
    <w:rsid w:val="00C64C37"/>
    <w:rsid w:val="00C65341"/>
    <w:rsid w:val="00C658B2"/>
    <w:rsid w:val="00C65914"/>
    <w:rsid w:val="00C65FDD"/>
    <w:rsid w:val="00C66188"/>
    <w:rsid w:val="00C6632B"/>
    <w:rsid w:val="00C66AA3"/>
    <w:rsid w:val="00C66C70"/>
    <w:rsid w:val="00C66D71"/>
    <w:rsid w:val="00C67203"/>
    <w:rsid w:val="00C672D3"/>
    <w:rsid w:val="00C6748E"/>
    <w:rsid w:val="00C67757"/>
    <w:rsid w:val="00C67C3B"/>
    <w:rsid w:val="00C70162"/>
    <w:rsid w:val="00C70B01"/>
    <w:rsid w:val="00C7100E"/>
    <w:rsid w:val="00C718AD"/>
    <w:rsid w:val="00C71911"/>
    <w:rsid w:val="00C71EE0"/>
    <w:rsid w:val="00C721B0"/>
    <w:rsid w:val="00C7223B"/>
    <w:rsid w:val="00C72612"/>
    <w:rsid w:val="00C72943"/>
    <w:rsid w:val="00C72E28"/>
    <w:rsid w:val="00C731B8"/>
    <w:rsid w:val="00C7334D"/>
    <w:rsid w:val="00C73556"/>
    <w:rsid w:val="00C739B6"/>
    <w:rsid w:val="00C74693"/>
    <w:rsid w:val="00C74802"/>
    <w:rsid w:val="00C7485E"/>
    <w:rsid w:val="00C74906"/>
    <w:rsid w:val="00C74DB8"/>
    <w:rsid w:val="00C74EF4"/>
    <w:rsid w:val="00C74F13"/>
    <w:rsid w:val="00C750B4"/>
    <w:rsid w:val="00C752E9"/>
    <w:rsid w:val="00C757F2"/>
    <w:rsid w:val="00C75C8B"/>
    <w:rsid w:val="00C76422"/>
    <w:rsid w:val="00C76E67"/>
    <w:rsid w:val="00C774AF"/>
    <w:rsid w:val="00C77C2B"/>
    <w:rsid w:val="00C77E16"/>
    <w:rsid w:val="00C80E5B"/>
    <w:rsid w:val="00C815C8"/>
    <w:rsid w:val="00C815F5"/>
    <w:rsid w:val="00C81B8F"/>
    <w:rsid w:val="00C82D28"/>
    <w:rsid w:val="00C835CA"/>
    <w:rsid w:val="00C83E13"/>
    <w:rsid w:val="00C84060"/>
    <w:rsid w:val="00C840D2"/>
    <w:rsid w:val="00C8432C"/>
    <w:rsid w:val="00C8493A"/>
    <w:rsid w:val="00C849DC"/>
    <w:rsid w:val="00C84C92"/>
    <w:rsid w:val="00C856D7"/>
    <w:rsid w:val="00C8578E"/>
    <w:rsid w:val="00C85FE0"/>
    <w:rsid w:val="00C85FF8"/>
    <w:rsid w:val="00C863D8"/>
    <w:rsid w:val="00C870A0"/>
    <w:rsid w:val="00C8747C"/>
    <w:rsid w:val="00C87B51"/>
    <w:rsid w:val="00C902EE"/>
    <w:rsid w:val="00C90582"/>
    <w:rsid w:val="00C907EC"/>
    <w:rsid w:val="00C91760"/>
    <w:rsid w:val="00C91ADB"/>
    <w:rsid w:val="00C91D6A"/>
    <w:rsid w:val="00C920A0"/>
    <w:rsid w:val="00C92358"/>
    <w:rsid w:val="00C92625"/>
    <w:rsid w:val="00C92D6F"/>
    <w:rsid w:val="00C93244"/>
    <w:rsid w:val="00C935B9"/>
    <w:rsid w:val="00C93FCD"/>
    <w:rsid w:val="00C949EF"/>
    <w:rsid w:val="00C94AAE"/>
    <w:rsid w:val="00C959FA"/>
    <w:rsid w:val="00C95A42"/>
    <w:rsid w:val="00C96220"/>
    <w:rsid w:val="00C9622C"/>
    <w:rsid w:val="00C967A9"/>
    <w:rsid w:val="00C967FB"/>
    <w:rsid w:val="00C96BD3"/>
    <w:rsid w:val="00C96CB9"/>
    <w:rsid w:val="00C9742A"/>
    <w:rsid w:val="00C975C7"/>
    <w:rsid w:val="00CA05F7"/>
    <w:rsid w:val="00CA08AA"/>
    <w:rsid w:val="00CA0D13"/>
    <w:rsid w:val="00CA10FE"/>
    <w:rsid w:val="00CA195A"/>
    <w:rsid w:val="00CA1BED"/>
    <w:rsid w:val="00CA1C27"/>
    <w:rsid w:val="00CA1D1D"/>
    <w:rsid w:val="00CA2354"/>
    <w:rsid w:val="00CA298F"/>
    <w:rsid w:val="00CA2B0E"/>
    <w:rsid w:val="00CA310F"/>
    <w:rsid w:val="00CA3164"/>
    <w:rsid w:val="00CA3B6D"/>
    <w:rsid w:val="00CA3D9F"/>
    <w:rsid w:val="00CA3EDB"/>
    <w:rsid w:val="00CA3FB5"/>
    <w:rsid w:val="00CA4586"/>
    <w:rsid w:val="00CA4DAA"/>
    <w:rsid w:val="00CA4E03"/>
    <w:rsid w:val="00CA4F46"/>
    <w:rsid w:val="00CA5489"/>
    <w:rsid w:val="00CA5E1A"/>
    <w:rsid w:val="00CA6429"/>
    <w:rsid w:val="00CA64F9"/>
    <w:rsid w:val="00CA6E45"/>
    <w:rsid w:val="00CA6FD4"/>
    <w:rsid w:val="00CA6FDD"/>
    <w:rsid w:val="00CA716B"/>
    <w:rsid w:val="00CA74F0"/>
    <w:rsid w:val="00CA77B1"/>
    <w:rsid w:val="00CA7F5A"/>
    <w:rsid w:val="00CB006E"/>
    <w:rsid w:val="00CB0F7C"/>
    <w:rsid w:val="00CB1277"/>
    <w:rsid w:val="00CB141F"/>
    <w:rsid w:val="00CB1C6F"/>
    <w:rsid w:val="00CB1E7B"/>
    <w:rsid w:val="00CB26B7"/>
    <w:rsid w:val="00CB2AC5"/>
    <w:rsid w:val="00CB2E59"/>
    <w:rsid w:val="00CB303F"/>
    <w:rsid w:val="00CB30B6"/>
    <w:rsid w:val="00CB311C"/>
    <w:rsid w:val="00CB31C8"/>
    <w:rsid w:val="00CB362A"/>
    <w:rsid w:val="00CB3D5E"/>
    <w:rsid w:val="00CB3DF4"/>
    <w:rsid w:val="00CB3E6F"/>
    <w:rsid w:val="00CB4031"/>
    <w:rsid w:val="00CB4275"/>
    <w:rsid w:val="00CB496C"/>
    <w:rsid w:val="00CB4A5A"/>
    <w:rsid w:val="00CB4AF6"/>
    <w:rsid w:val="00CB4BF8"/>
    <w:rsid w:val="00CB5448"/>
    <w:rsid w:val="00CB5B75"/>
    <w:rsid w:val="00CB5F7B"/>
    <w:rsid w:val="00CB6088"/>
    <w:rsid w:val="00CB63E4"/>
    <w:rsid w:val="00CB6418"/>
    <w:rsid w:val="00CB6589"/>
    <w:rsid w:val="00CB7328"/>
    <w:rsid w:val="00CB75BA"/>
    <w:rsid w:val="00CB7E8F"/>
    <w:rsid w:val="00CB7F60"/>
    <w:rsid w:val="00CC00EC"/>
    <w:rsid w:val="00CC04EF"/>
    <w:rsid w:val="00CC0B7A"/>
    <w:rsid w:val="00CC0F22"/>
    <w:rsid w:val="00CC12DE"/>
    <w:rsid w:val="00CC1972"/>
    <w:rsid w:val="00CC1E16"/>
    <w:rsid w:val="00CC1EEA"/>
    <w:rsid w:val="00CC245A"/>
    <w:rsid w:val="00CC248E"/>
    <w:rsid w:val="00CC2528"/>
    <w:rsid w:val="00CC2630"/>
    <w:rsid w:val="00CC2AEF"/>
    <w:rsid w:val="00CC2BA0"/>
    <w:rsid w:val="00CC3791"/>
    <w:rsid w:val="00CC3BEB"/>
    <w:rsid w:val="00CC3E5C"/>
    <w:rsid w:val="00CC3F65"/>
    <w:rsid w:val="00CC4397"/>
    <w:rsid w:val="00CC45D6"/>
    <w:rsid w:val="00CC4B66"/>
    <w:rsid w:val="00CC4BF1"/>
    <w:rsid w:val="00CC5122"/>
    <w:rsid w:val="00CC54F7"/>
    <w:rsid w:val="00CC59E9"/>
    <w:rsid w:val="00CC59EE"/>
    <w:rsid w:val="00CC5B07"/>
    <w:rsid w:val="00CC5CA0"/>
    <w:rsid w:val="00CC5F35"/>
    <w:rsid w:val="00CC6016"/>
    <w:rsid w:val="00CC625E"/>
    <w:rsid w:val="00CC6294"/>
    <w:rsid w:val="00CC6599"/>
    <w:rsid w:val="00CC66EB"/>
    <w:rsid w:val="00CC7270"/>
    <w:rsid w:val="00CC74AA"/>
    <w:rsid w:val="00CC7773"/>
    <w:rsid w:val="00CC7DFC"/>
    <w:rsid w:val="00CC7E6A"/>
    <w:rsid w:val="00CC7F5F"/>
    <w:rsid w:val="00CD0308"/>
    <w:rsid w:val="00CD0782"/>
    <w:rsid w:val="00CD07CE"/>
    <w:rsid w:val="00CD0907"/>
    <w:rsid w:val="00CD0982"/>
    <w:rsid w:val="00CD0E8F"/>
    <w:rsid w:val="00CD0F87"/>
    <w:rsid w:val="00CD13E7"/>
    <w:rsid w:val="00CD1FB5"/>
    <w:rsid w:val="00CD21C7"/>
    <w:rsid w:val="00CD2AEE"/>
    <w:rsid w:val="00CD3602"/>
    <w:rsid w:val="00CD3701"/>
    <w:rsid w:val="00CD3781"/>
    <w:rsid w:val="00CD378D"/>
    <w:rsid w:val="00CD37A5"/>
    <w:rsid w:val="00CD3847"/>
    <w:rsid w:val="00CD3E9B"/>
    <w:rsid w:val="00CD41D0"/>
    <w:rsid w:val="00CD4394"/>
    <w:rsid w:val="00CD448B"/>
    <w:rsid w:val="00CD46C5"/>
    <w:rsid w:val="00CD46D3"/>
    <w:rsid w:val="00CD46E6"/>
    <w:rsid w:val="00CD4A7A"/>
    <w:rsid w:val="00CD4E15"/>
    <w:rsid w:val="00CD4EA4"/>
    <w:rsid w:val="00CD5204"/>
    <w:rsid w:val="00CD5212"/>
    <w:rsid w:val="00CD52E7"/>
    <w:rsid w:val="00CD5300"/>
    <w:rsid w:val="00CD61DF"/>
    <w:rsid w:val="00CD68E0"/>
    <w:rsid w:val="00CD6ECE"/>
    <w:rsid w:val="00CD776D"/>
    <w:rsid w:val="00CD77D4"/>
    <w:rsid w:val="00CD7B74"/>
    <w:rsid w:val="00CD7B97"/>
    <w:rsid w:val="00CD7D32"/>
    <w:rsid w:val="00CE0557"/>
    <w:rsid w:val="00CE0CE9"/>
    <w:rsid w:val="00CE0FA7"/>
    <w:rsid w:val="00CE1291"/>
    <w:rsid w:val="00CE14AC"/>
    <w:rsid w:val="00CE1517"/>
    <w:rsid w:val="00CE165C"/>
    <w:rsid w:val="00CE18BA"/>
    <w:rsid w:val="00CE1B4B"/>
    <w:rsid w:val="00CE1BF1"/>
    <w:rsid w:val="00CE1DD9"/>
    <w:rsid w:val="00CE2578"/>
    <w:rsid w:val="00CE2794"/>
    <w:rsid w:val="00CE2E62"/>
    <w:rsid w:val="00CE30BC"/>
    <w:rsid w:val="00CE324F"/>
    <w:rsid w:val="00CE3555"/>
    <w:rsid w:val="00CE3966"/>
    <w:rsid w:val="00CE4B0D"/>
    <w:rsid w:val="00CE4DA9"/>
    <w:rsid w:val="00CE52EF"/>
    <w:rsid w:val="00CE5F0A"/>
    <w:rsid w:val="00CE6050"/>
    <w:rsid w:val="00CE6416"/>
    <w:rsid w:val="00CE6842"/>
    <w:rsid w:val="00CE686A"/>
    <w:rsid w:val="00CE6998"/>
    <w:rsid w:val="00CE79E1"/>
    <w:rsid w:val="00CE7BBA"/>
    <w:rsid w:val="00CE7BF5"/>
    <w:rsid w:val="00CE7C97"/>
    <w:rsid w:val="00CE7F0D"/>
    <w:rsid w:val="00CF0020"/>
    <w:rsid w:val="00CF0042"/>
    <w:rsid w:val="00CF0707"/>
    <w:rsid w:val="00CF0D6D"/>
    <w:rsid w:val="00CF0DF4"/>
    <w:rsid w:val="00CF11A6"/>
    <w:rsid w:val="00CF1578"/>
    <w:rsid w:val="00CF28D1"/>
    <w:rsid w:val="00CF2C23"/>
    <w:rsid w:val="00CF2D0E"/>
    <w:rsid w:val="00CF2E43"/>
    <w:rsid w:val="00CF3365"/>
    <w:rsid w:val="00CF3811"/>
    <w:rsid w:val="00CF3C8C"/>
    <w:rsid w:val="00CF3CB9"/>
    <w:rsid w:val="00CF4499"/>
    <w:rsid w:val="00CF4554"/>
    <w:rsid w:val="00CF4650"/>
    <w:rsid w:val="00CF4DBF"/>
    <w:rsid w:val="00CF5081"/>
    <w:rsid w:val="00CF5844"/>
    <w:rsid w:val="00CF5C45"/>
    <w:rsid w:val="00CF6313"/>
    <w:rsid w:val="00CF649C"/>
    <w:rsid w:val="00CF6625"/>
    <w:rsid w:val="00CF7199"/>
    <w:rsid w:val="00CF7703"/>
    <w:rsid w:val="00CF7991"/>
    <w:rsid w:val="00CF7A71"/>
    <w:rsid w:val="00D0042E"/>
    <w:rsid w:val="00D00EC1"/>
    <w:rsid w:val="00D01151"/>
    <w:rsid w:val="00D01646"/>
    <w:rsid w:val="00D01680"/>
    <w:rsid w:val="00D01C20"/>
    <w:rsid w:val="00D021CD"/>
    <w:rsid w:val="00D0253B"/>
    <w:rsid w:val="00D02E8D"/>
    <w:rsid w:val="00D02F9C"/>
    <w:rsid w:val="00D0309B"/>
    <w:rsid w:val="00D030DB"/>
    <w:rsid w:val="00D03608"/>
    <w:rsid w:val="00D03868"/>
    <w:rsid w:val="00D03987"/>
    <w:rsid w:val="00D03A35"/>
    <w:rsid w:val="00D03C6A"/>
    <w:rsid w:val="00D0413B"/>
    <w:rsid w:val="00D0468D"/>
    <w:rsid w:val="00D04D4C"/>
    <w:rsid w:val="00D05614"/>
    <w:rsid w:val="00D05725"/>
    <w:rsid w:val="00D0607E"/>
    <w:rsid w:val="00D061E3"/>
    <w:rsid w:val="00D066A1"/>
    <w:rsid w:val="00D06919"/>
    <w:rsid w:val="00D06A37"/>
    <w:rsid w:val="00D07B32"/>
    <w:rsid w:val="00D108D8"/>
    <w:rsid w:val="00D10E0C"/>
    <w:rsid w:val="00D11F3A"/>
    <w:rsid w:val="00D12254"/>
    <w:rsid w:val="00D12682"/>
    <w:rsid w:val="00D129F5"/>
    <w:rsid w:val="00D12CA4"/>
    <w:rsid w:val="00D13007"/>
    <w:rsid w:val="00D13330"/>
    <w:rsid w:val="00D13467"/>
    <w:rsid w:val="00D1358B"/>
    <w:rsid w:val="00D135DE"/>
    <w:rsid w:val="00D13976"/>
    <w:rsid w:val="00D13F5F"/>
    <w:rsid w:val="00D1491F"/>
    <w:rsid w:val="00D14AF0"/>
    <w:rsid w:val="00D14CC5"/>
    <w:rsid w:val="00D14DCC"/>
    <w:rsid w:val="00D14EDF"/>
    <w:rsid w:val="00D14FB8"/>
    <w:rsid w:val="00D15056"/>
    <w:rsid w:val="00D152F7"/>
    <w:rsid w:val="00D1569F"/>
    <w:rsid w:val="00D15C26"/>
    <w:rsid w:val="00D16499"/>
    <w:rsid w:val="00D168C9"/>
    <w:rsid w:val="00D17607"/>
    <w:rsid w:val="00D1764B"/>
    <w:rsid w:val="00D17934"/>
    <w:rsid w:val="00D17FAE"/>
    <w:rsid w:val="00D20060"/>
    <w:rsid w:val="00D201F9"/>
    <w:rsid w:val="00D20504"/>
    <w:rsid w:val="00D20576"/>
    <w:rsid w:val="00D2078C"/>
    <w:rsid w:val="00D20B60"/>
    <w:rsid w:val="00D210C8"/>
    <w:rsid w:val="00D210D2"/>
    <w:rsid w:val="00D210D3"/>
    <w:rsid w:val="00D21270"/>
    <w:rsid w:val="00D213FC"/>
    <w:rsid w:val="00D21514"/>
    <w:rsid w:val="00D21570"/>
    <w:rsid w:val="00D2179A"/>
    <w:rsid w:val="00D21AD0"/>
    <w:rsid w:val="00D22782"/>
    <w:rsid w:val="00D22786"/>
    <w:rsid w:val="00D2286A"/>
    <w:rsid w:val="00D22949"/>
    <w:rsid w:val="00D23251"/>
    <w:rsid w:val="00D23610"/>
    <w:rsid w:val="00D23B21"/>
    <w:rsid w:val="00D24328"/>
    <w:rsid w:val="00D24431"/>
    <w:rsid w:val="00D247AB"/>
    <w:rsid w:val="00D24E39"/>
    <w:rsid w:val="00D25160"/>
    <w:rsid w:val="00D25A0E"/>
    <w:rsid w:val="00D25A57"/>
    <w:rsid w:val="00D25BB6"/>
    <w:rsid w:val="00D25DD3"/>
    <w:rsid w:val="00D25EE9"/>
    <w:rsid w:val="00D261F2"/>
    <w:rsid w:val="00D26396"/>
    <w:rsid w:val="00D2720F"/>
    <w:rsid w:val="00D2780B"/>
    <w:rsid w:val="00D27F27"/>
    <w:rsid w:val="00D30559"/>
    <w:rsid w:val="00D31155"/>
    <w:rsid w:val="00D322CF"/>
    <w:rsid w:val="00D3258F"/>
    <w:rsid w:val="00D32689"/>
    <w:rsid w:val="00D326CB"/>
    <w:rsid w:val="00D32D91"/>
    <w:rsid w:val="00D3345B"/>
    <w:rsid w:val="00D3360D"/>
    <w:rsid w:val="00D33861"/>
    <w:rsid w:val="00D33EF8"/>
    <w:rsid w:val="00D33F66"/>
    <w:rsid w:val="00D340B6"/>
    <w:rsid w:val="00D341D7"/>
    <w:rsid w:val="00D34425"/>
    <w:rsid w:val="00D34562"/>
    <w:rsid w:val="00D34847"/>
    <w:rsid w:val="00D349DC"/>
    <w:rsid w:val="00D35219"/>
    <w:rsid w:val="00D355A8"/>
    <w:rsid w:val="00D357B4"/>
    <w:rsid w:val="00D35C29"/>
    <w:rsid w:val="00D35C52"/>
    <w:rsid w:val="00D35D70"/>
    <w:rsid w:val="00D35E09"/>
    <w:rsid w:val="00D360C5"/>
    <w:rsid w:val="00D36216"/>
    <w:rsid w:val="00D375FE"/>
    <w:rsid w:val="00D4000A"/>
    <w:rsid w:val="00D40496"/>
    <w:rsid w:val="00D40982"/>
    <w:rsid w:val="00D40B4C"/>
    <w:rsid w:val="00D40BD1"/>
    <w:rsid w:val="00D40BE4"/>
    <w:rsid w:val="00D418E3"/>
    <w:rsid w:val="00D4212E"/>
    <w:rsid w:val="00D4274B"/>
    <w:rsid w:val="00D431CA"/>
    <w:rsid w:val="00D43CD3"/>
    <w:rsid w:val="00D43D6C"/>
    <w:rsid w:val="00D43D81"/>
    <w:rsid w:val="00D4467E"/>
    <w:rsid w:val="00D44992"/>
    <w:rsid w:val="00D45110"/>
    <w:rsid w:val="00D45271"/>
    <w:rsid w:val="00D45556"/>
    <w:rsid w:val="00D4617F"/>
    <w:rsid w:val="00D461A0"/>
    <w:rsid w:val="00D46675"/>
    <w:rsid w:val="00D4674B"/>
    <w:rsid w:val="00D46D5C"/>
    <w:rsid w:val="00D46E77"/>
    <w:rsid w:val="00D46F4D"/>
    <w:rsid w:val="00D47B4D"/>
    <w:rsid w:val="00D47F71"/>
    <w:rsid w:val="00D5053C"/>
    <w:rsid w:val="00D50B64"/>
    <w:rsid w:val="00D51924"/>
    <w:rsid w:val="00D5193D"/>
    <w:rsid w:val="00D51ABA"/>
    <w:rsid w:val="00D51CC3"/>
    <w:rsid w:val="00D5214D"/>
    <w:rsid w:val="00D52D9D"/>
    <w:rsid w:val="00D52FB8"/>
    <w:rsid w:val="00D532CC"/>
    <w:rsid w:val="00D5333B"/>
    <w:rsid w:val="00D537F7"/>
    <w:rsid w:val="00D53CA9"/>
    <w:rsid w:val="00D53CFF"/>
    <w:rsid w:val="00D53FA0"/>
    <w:rsid w:val="00D5400C"/>
    <w:rsid w:val="00D5412E"/>
    <w:rsid w:val="00D541B1"/>
    <w:rsid w:val="00D54271"/>
    <w:rsid w:val="00D5437B"/>
    <w:rsid w:val="00D543DD"/>
    <w:rsid w:val="00D543EE"/>
    <w:rsid w:val="00D5467B"/>
    <w:rsid w:val="00D546EE"/>
    <w:rsid w:val="00D54A9D"/>
    <w:rsid w:val="00D55A5E"/>
    <w:rsid w:val="00D55B7D"/>
    <w:rsid w:val="00D55C81"/>
    <w:rsid w:val="00D55CFE"/>
    <w:rsid w:val="00D55EE3"/>
    <w:rsid w:val="00D56276"/>
    <w:rsid w:val="00D56570"/>
    <w:rsid w:val="00D56C2F"/>
    <w:rsid w:val="00D570AB"/>
    <w:rsid w:val="00D57353"/>
    <w:rsid w:val="00D57B28"/>
    <w:rsid w:val="00D57B92"/>
    <w:rsid w:val="00D607AB"/>
    <w:rsid w:val="00D608AA"/>
    <w:rsid w:val="00D60AE9"/>
    <w:rsid w:val="00D60F58"/>
    <w:rsid w:val="00D60F7B"/>
    <w:rsid w:val="00D615E3"/>
    <w:rsid w:val="00D619D7"/>
    <w:rsid w:val="00D62501"/>
    <w:rsid w:val="00D62A86"/>
    <w:rsid w:val="00D63228"/>
    <w:rsid w:val="00D63C47"/>
    <w:rsid w:val="00D63F1A"/>
    <w:rsid w:val="00D65147"/>
    <w:rsid w:val="00D65520"/>
    <w:rsid w:val="00D657EA"/>
    <w:rsid w:val="00D65D0A"/>
    <w:rsid w:val="00D660E4"/>
    <w:rsid w:val="00D6612A"/>
    <w:rsid w:val="00D66754"/>
    <w:rsid w:val="00D67104"/>
    <w:rsid w:val="00D672F4"/>
    <w:rsid w:val="00D67550"/>
    <w:rsid w:val="00D67721"/>
    <w:rsid w:val="00D67D02"/>
    <w:rsid w:val="00D67DAE"/>
    <w:rsid w:val="00D67E79"/>
    <w:rsid w:val="00D7012E"/>
    <w:rsid w:val="00D7040C"/>
    <w:rsid w:val="00D706D9"/>
    <w:rsid w:val="00D70758"/>
    <w:rsid w:val="00D70CBC"/>
    <w:rsid w:val="00D70E02"/>
    <w:rsid w:val="00D70EB0"/>
    <w:rsid w:val="00D71321"/>
    <w:rsid w:val="00D71CDC"/>
    <w:rsid w:val="00D71F9C"/>
    <w:rsid w:val="00D723C3"/>
    <w:rsid w:val="00D725C7"/>
    <w:rsid w:val="00D729A8"/>
    <w:rsid w:val="00D72D01"/>
    <w:rsid w:val="00D72F2D"/>
    <w:rsid w:val="00D72FF4"/>
    <w:rsid w:val="00D7381F"/>
    <w:rsid w:val="00D7382A"/>
    <w:rsid w:val="00D73C50"/>
    <w:rsid w:val="00D73D27"/>
    <w:rsid w:val="00D74071"/>
    <w:rsid w:val="00D74101"/>
    <w:rsid w:val="00D744EF"/>
    <w:rsid w:val="00D74536"/>
    <w:rsid w:val="00D74597"/>
    <w:rsid w:val="00D74857"/>
    <w:rsid w:val="00D74B76"/>
    <w:rsid w:val="00D75209"/>
    <w:rsid w:val="00D753C4"/>
    <w:rsid w:val="00D7546C"/>
    <w:rsid w:val="00D755E3"/>
    <w:rsid w:val="00D758C1"/>
    <w:rsid w:val="00D75B52"/>
    <w:rsid w:val="00D75E82"/>
    <w:rsid w:val="00D7602C"/>
    <w:rsid w:val="00D7606F"/>
    <w:rsid w:val="00D7615F"/>
    <w:rsid w:val="00D763A3"/>
    <w:rsid w:val="00D763C8"/>
    <w:rsid w:val="00D76788"/>
    <w:rsid w:val="00D767FE"/>
    <w:rsid w:val="00D768C0"/>
    <w:rsid w:val="00D76EE7"/>
    <w:rsid w:val="00D7761A"/>
    <w:rsid w:val="00D77A23"/>
    <w:rsid w:val="00D77AB7"/>
    <w:rsid w:val="00D77F11"/>
    <w:rsid w:val="00D801F6"/>
    <w:rsid w:val="00D81F24"/>
    <w:rsid w:val="00D825C9"/>
    <w:rsid w:val="00D82E93"/>
    <w:rsid w:val="00D831B7"/>
    <w:rsid w:val="00D83942"/>
    <w:rsid w:val="00D841A6"/>
    <w:rsid w:val="00D852F6"/>
    <w:rsid w:val="00D85317"/>
    <w:rsid w:val="00D854DC"/>
    <w:rsid w:val="00D85B8D"/>
    <w:rsid w:val="00D86314"/>
    <w:rsid w:val="00D86A6D"/>
    <w:rsid w:val="00D86C40"/>
    <w:rsid w:val="00D877BE"/>
    <w:rsid w:val="00D87BDB"/>
    <w:rsid w:val="00D905DD"/>
    <w:rsid w:val="00D9062B"/>
    <w:rsid w:val="00D908EF"/>
    <w:rsid w:val="00D91574"/>
    <w:rsid w:val="00D918DA"/>
    <w:rsid w:val="00D91E18"/>
    <w:rsid w:val="00D91F43"/>
    <w:rsid w:val="00D9280B"/>
    <w:rsid w:val="00D92CD3"/>
    <w:rsid w:val="00D92CE8"/>
    <w:rsid w:val="00D93B4E"/>
    <w:rsid w:val="00D93BB3"/>
    <w:rsid w:val="00D94957"/>
    <w:rsid w:val="00D94A7D"/>
    <w:rsid w:val="00D9522F"/>
    <w:rsid w:val="00D9568A"/>
    <w:rsid w:val="00D95941"/>
    <w:rsid w:val="00D96024"/>
    <w:rsid w:val="00D965F3"/>
    <w:rsid w:val="00D96856"/>
    <w:rsid w:val="00D96CBC"/>
    <w:rsid w:val="00D976C8"/>
    <w:rsid w:val="00D979C3"/>
    <w:rsid w:val="00D97B2C"/>
    <w:rsid w:val="00DA0342"/>
    <w:rsid w:val="00DA03D0"/>
    <w:rsid w:val="00DA08CD"/>
    <w:rsid w:val="00DA1061"/>
    <w:rsid w:val="00DA167D"/>
    <w:rsid w:val="00DA1B70"/>
    <w:rsid w:val="00DA1D4B"/>
    <w:rsid w:val="00DA226C"/>
    <w:rsid w:val="00DA22ED"/>
    <w:rsid w:val="00DA2392"/>
    <w:rsid w:val="00DA25E8"/>
    <w:rsid w:val="00DA263E"/>
    <w:rsid w:val="00DA30BD"/>
    <w:rsid w:val="00DA3512"/>
    <w:rsid w:val="00DA389E"/>
    <w:rsid w:val="00DA39F4"/>
    <w:rsid w:val="00DA410B"/>
    <w:rsid w:val="00DA42C3"/>
    <w:rsid w:val="00DA4326"/>
    <w:rsid w:val="00DA56B7"/>
    <w:rsid w:val="00DA5B48"/>
    <w:rsid w:val="00DA5B7B"/>
    <w:rsid w:val="00DA5FB8"/>
    <w:rsid w:val="00DA61E5"/>
    <w:rsid w:val="00DA6203"/>
    <w:rsid w:val="00DA62B2"/>
    <w:rsid w:val="00DA6887"/>
    <w:rsid w:val="00DA6989"/>
    <w:rsid w:val="00DA6F5D"/>
    <w:rsid w:val="00DA6F86"/>
    <w:rsid w:val="00DA79A5"/>
    <w:rsid w:val="00DB0297"/>
    <w:rsid w:val="00DB03C6"/>
    <w:rsid w:val="00DB05C1"/>
    <w:rsid w:val="00DB076A"/>
    <w:rsid w:val="00DB07BC"/>
    <w:rsid w:val="00DB0C46"/>
    <w:rsid w:val="00DB0D8E"/>
    <w:rsid w:val="00DB11EE"/>
    <w:rsid w:val="00DB12D1"/>
    <w:rsid w:val="00DB14D8"/>
    <w:rsid w:val="00DB1530"/>
    <w:rsid w:val="00DB1801"/>
    <w:rsid w:val="00DB1D32"/>
    <w:rsid w:val="00DB20C4"/>
    <w:rsid w:val="00DB2197"/>
    <w:rsid w:val="00DB2387"/>
    <w:rsid w:val="00DB2912"/>
    <w:rsid w:val="00DB2954"/>
    <w:rsid w:val="00DB2C7E"/>
    <w:rsid w:val="00DB30B9"/>
    <w:rsid w:val="00DB33B2"/>
    <w:rsid w:val="00DB37A9"/>
    <w:rsid w:val="00DB3D76"/>
    <w:rsid w:val="00DB44C9"/>
    <w:rsid w:val="00DB476F"/>
    <w:rsid w:val="00DB4860"/>
    <w:rsid w:val="00DB5898"/>
    <w:rsid w:val="00DB5CB1"/>
    <w:rsid w:val="00DB63B7"/>
    <w:rsid w:val="00DB66AE"/>
    <w:rsid w:val="00DB7A46"/>
    <w:rsid w:val="00DC0432"/>
    <w:rsid w:val="00DC0552"/>
    <w:rsid w:val="00DC0BB9"/>
    <w:rsid w:val="00DC0C13"/>
    <w:rsid w:val="00DC180E"/>
    <w:rsid w:val="00DC2086"/>
    <w:rsid w:val="00DC29AF"/>
    <w:rsid w:val="00DC2DA0"/>
    <w:rsid w:val="00DC2E42"/>
    <w:rsid w:val="00DC3543"/>
    <w:rsid w:val="00DC3929"/>
    <w:rsid w:val="00DC3AB7"/>
    <w:rsid w:val="00DC3BBC"/>
    <w:rsid w:val="00DC4D7E"/>
    <w:rsid w:val="00DC4FEC"/>
    <w:rsid w:val="00DC5663"/>
    <w:rsid w:val="00DC5BF8"/>
    <w:rsid w:val="00DC5F1A"/>
    <w:rsid w:val="00DC6039"/>
    <w:rsid w:val="00DC60B5"/>
    <w:rsid w:val="00DC632D"/>
    <w:rsid w:val="00DC6887"/>
    <w:rsid w:val="00DC69CA"/>
    <w:rsid w:val="00DC6E3B"/>
    <w:rsid w:val="00DC7A15"/>
    <w:rsid w:val="00DC7BDC"/>
    <w:rsid w:val="00DC7BEA"/>
    <w:rsid w:val="00DD036C"/>
    <w:rsid w:val="00DD0760"/>
    <w:rsid w:val="00DD09BE"/>
    <w:rsid w:val="00DD11D5"/>
    <w:rsid w:val="00DD13D1"/>
    <w:rsid w:val="00DD1528"/>
    <w:rsid w:val="00DD1584"/>
    <w:rsid w:val="00DD1854"/>
    <w:rsid w:val="00DD1918"/>
    <w:rsid w:val="00DD1F24"/>
    <w:rsid w:val="00DD1F31"/>
    <w:rsid w:val="00DD2237"/>
    <w:rsid w:val="00DD2828"/>
    <w:rsid w:val="00DD2917"/>
    <w:rsid w:val="00DD31BF"/>
    <w:rsid w:val="00DD38CE"/>
    <w:rsid w:val="00DD40D4"/>
    <w:rsid w:val="00DD4E6D"/>
    <w:rsid w:val="00DD4F5D"/>
    <w:rsid w:val="00DD5086"/>
    <w:rsid w:val="00DD5D44"/>
    <w:rsid w:val="00DD5DB8"/>
    <w:rsid w:val="00DD5F19"/>
    <w:rsid w:val="00DD64DB"/>
    <w:rsid w:val="00DD6A62"/>
    <w:rsid w:val="00DE010E"/>
    <w:rsid w:val="00DE0292"/>
    <w:rsid w:val="00DE06E0"/>
    <w:rsid w:val="00DE09B3"/>
    <w:rsid w:val="00DE0B58"/>
    <w:rsid w:val="00DE0CD1"/>
    <w:rsid w:val="00DE120E"/>
    <w:rsid w:val="00DE12E4"/>
    <w:rsid w:val="00DE1B09"/>
    <w:rsid w:val="00DE205E"/>
    <w:rsid w:val="00DE228E"/>
    <w:rsid w:val="00DE2432"/>
    <w:rsid w:val="00DE26AE"/>
    <w:rsid w:val="00DE27F8"/>
    <w:rsid w:val="00DE2CB9"/>
    <w:rsid w:val="00DE3439"/>
    <w:rsid w:val="00DE3CE1"/>
    <w:rsid w:val="00DE4416"/>
    <w:rsid w:val="00DE4FC4"/>
    <w:rsid w:val="00DE530D"/>
    <w:rsid w:val="00DE54E3"/>
    <w:rsid w:val="00DE571E"/>
    <w:rsid w:val="00DE67E0"/>
    <w:rsid w:val="00DE6866"/>
    <w:rsid w:val="00DE695E"/>
    <w:rsid w:val="00DE77D1"/>
    <w:rsid w:val="00DE79A8"/>
    <w:rsid w:val="00DE7A34"/>
    <w:rsid w:val="00DE7A7F"/>
    <w:rsid w:val="00DE7CC6"/>
    <w:rsid w:val="00DE7E59"/>
    <w:rsid w:val="00DF010C"/>
    <w:rsid w:val="00DF015F"/>
    <w:rsid w:val="00DF0196"/>
    <w:rsid w:val="00DF022D"/>
    <w:rsid w:val="00DF031D"/>
    <w:rsid w:val="00DF08CC"/>
    <w:rsid w:val="00DF0997"/>
    <w:rsid w:val="00DF0AA3"/>
    <w:rsid w:val="00DF1CC7"/>
    <w:rsid w:val="00DF1F8D"/>
    <w:rsid w:val="00DF20F3"/>
    <w:rsid w:val="00DF218B"/>
    <w:rsid w:val="00DF22E1"/>
    <w:rsid w:val="00DF241C"/>
    <w:rsid w:val="00DF267E"/>
    <w:rsid w:val="00DF2686"/>
    <w:rsid w:val="00DF2CE6"/>
    <w:rsid w:val="00DF2D5B"/>
    <w:rsid w:val="00DF2DEF"/>
    <w:rsid w:val="00DF3381"/>
    <w:rsid w:val="00DF3944"/>
    <w:rsid w:val="00DF3A40"/>
    <w:rsid w:val="00DF3ED7"/>
    <w:rsid w:val="00DF499B"/>
    <w:rsid w:val="00DF4DA4"/>
    <w:rsid w:val="00DF4E0A"/>
    <w:rsid w:val="00DF5739"/>
    <w:rsid w:val="00DF6528"/>
    <w:rsid w:val="00DF6533"/>
    <w:rsid w:val="00DF6E54"/>
    <w:rsid w:val="00DF6E96"/>
    <w:rsid w:val="00DF7249"/>
    <w:rsid w:val="00DF7645"/>
    <w:rsid w:val="00DF76AA"/>
    <w:rsid w:val="00DF794E"/>
    <w:rsid w:val="00DF7A64"/>
    <w:rsid w:val="00DF7FFA"/>
    <w:rsid w:val="00E0049D"/>
    <w:rsid w:val="00E00A20"/>
    <w:rsid w:val="00E00D8C"/>
    <w:rsid w:val="00E010F6"/>
    <w:rsid w:val="00E0126D"/>
    <w:rsid w:val="00E014BD"/>
    <w:rsid w:val="00E01C35"/>
    <w:rsid w:val="00E01CEC"/>
    <w:rsid w:val="00E024AC"/>
    <w:rsid w:val="00E02676"/>
    <w:rsid w:val="00E02F50"/>
    <w:rsid w:val="00E02FB0"/>
    <w:rsid w:val="00E03301"/>
    <w:rsid w:val="00E04254"/>
    <w:rsid w:val="00E04485"/>
    <w:rsid w:val="00E04972"/>
    <w:rsid w:val="00E049C2"/>
    <w:rsid w:val="00E049EF"/>
    <w:rsid w:val="00E04AB7"/>
    <w:rsid w:val="00E04F62"/>
    <w:rsid w:val="00E05778"/>
    <w:rsid w:val="00E05A63"/>
    <w:rsid w:val="00E05D16"/>
    <w:rsid w:val="00E06E58"/>
    <w:rsid w:val="00E0729B"/>
    <w:rsid w:val="00E075DD"/>
    <w:rsid w:val="00E076ED"/>
    <w:rsid w:val="00E07726"/>
    <w:rsid w:val="00E07E43"/>
    <w:rsid w:val="00E10435"/>
    <w:rsid w:val="00E105BB"/>
    <w:rsid w:val="00E106B4"/>
    <w:rsid w:val="00E106C2"/>
    <w:rsid w:val="00E10706"/>
    <w:rsid w:val="00E10C51"/>
    <w:rsid w:val="00E10CF1"/>
    <w:rsid w:val="00E111E4"/>
    <w:rsid w:val="00E1139E"/>
    <w:rsid w:val="00E114B9"/>
    <w:rsid w:val="00E11897"/>
    <w:rsid w:val="00E11B6B"/>
    <w:rsid w:val="00E123CB"/>
    <w:rsid w:val="00E1240E"/>
    <w:rsid w:val="00E124BD"/>
    <w:rsid w:val="00E1289F"/>
    <w:rsid w:val="00E12D3C"/>
    <w:rsid w:val="00E132B0"/>
    <w:rsid w:val="00E13ED5"/>
    <w:rsid w:val="00E1411D"/>
    <w:rsid w:val="00E143D0"/>
    <w:rsid w:val="00E143F9"/>
    <w:rsid w:val="00E14CDD"/>
    <w:rsid w:val="00E1553E"/>
    <w:rsid w:val="00E15703"/>
    <w:rsid w:val="00E1606E"/>
    <w:rsid w:val="00E168BE"/>
    <w:rsid w:val="00E17723"/>
    <w:rsid w:val="00E17A23"/>
    <w:rsid w:val="00E17A5D"/>
    <w:rsid w:val="00E17B53"/>
    <w:rsid w:val="00E202B4"/>
    <w:rsid w:val="00E203D3"/>
    <w:rsid w:val="00E20510"/>
    <w:rsid w:val="00E20979"/>
    <w:rsid w:val="00E20B93"/>
    <w:rsid w:val="00E20D93"/>
    <w:rsid w:val="00E20DDC"/>
    <w:rsid w:val="00E21349"/>
    <w:rsid w:val="00E213C8"/>
    <w:rsid w:val="00E21496"/>
    <w:rsid w:val="00E21A49"/>
    <w:rsid w:val="00E2200F"/>
    <w:rsid w:val="00E2229E"/>
    <w:rsid w:val="00E22EF8"/>
    <w:rsid w:val="00E22FE6"/>
    <w:rsid w:val="00E230D1"/>
    <w:rsid w:val="00E23109"/>
    <w:rsid w:val="00E23475"/>
    <w:rsid w:val="00E23D9D"/>
    <w:rsid w:val="00E23EB3"/>
    <w:rsid w:val="00E24495"/>
    <w:rsid w:val="00E24B9D"/>
    <w:rsid w:val="00E24BC4"/>
    <w:rsid w:val="00E24D1F"/>
    <w:rsid w:val="00E24F2E"/>
    <w:rsid w:val="00E24F88"/>
    <w:rsid w:val="00E250CD"/>
    <w:rsid w:val="00E252A1"/>
    <w:rsid w:val="00E25908"/>
    <w:rsid w:val="00E262F8"/>
    <w:rsid w:val="00E266D7"/>
    <w:rsid w:val="00E26B14"/>
    <w:rsid w:val="00E26F47"/>
    <w:rsid w:val="00E279F2"/>
    <w:rsid w:val="00E27D5B"/>
    <w:rsid w:val="00E27F65"/>
    <w:rsid w:val="00E3029A"/>
    <w:rsid w:val="00E30375"/>
    <w:rsid w:val="00E307AA"/>
    <w:rsid w:val="00E30C29"/>
    <w:rsid w:val="00E30D3C"/>
    <w:rsid w:val="00E3105A"/>
    <w:rsid w:val="00E311BD"/>
    <w:rsid w:val="00E31BCE"/>
    <w:rsid w:val="00E31CB2"/>
    <w:rsid w:val="00E327D9"/>
    <w:rsid w:val="00E32D3C"/>
    <w:rsid w:val="00E3340A"/>
    <w:rsid w:val="00E339C9"/>
    <w:rsid w:val="00E349E3"/>
    <w:rsid w:val="00E35244"/>
    <w:rsid w:val="00E35345"/>
    <w:rsid w:val="00E353FE"/>
    <w:rsid w:val="00E35690"/>
    <w:rsid w:val="00E35694"/>
    <w:rsid w:val="00E3687A"/>
    <w:rsid w:val="00E370E3"/>
    <w:rsid w:val="00E3774E"/>
    <w:rsid w:val="00E37F6C"/>
    <w:rsid w:val="00E41160"/>
    <w:rsid w:val="00E411DF"/>
    <w:rsid w:val="00E41245"/>
    <w:rsid w:val="00E41593"/>
    <w:rsid w:val="00E41754"/>
    <w:rsid w:val="00E4191B"/>
    <w:rsid w:val="00E41E7A"/>
    <w:rsid w:val="00E423DE"/>
    <w:rsid w:val="00E42635"/>
    <w:rsid w:val="00E43AC4"/>
    <w:rsid w:val="00E441BC"/>
    <w:rsid w:val="00E44240"/>
    <w:rsid w:val="00E444A2"/>
    <w:rsid w:val="00E45AC0"/>
    <w:rsid w:val="00E45D70"/>
    <w:rsid w:val="00E45F84"/>
    <w:rsid w:val="00E46D75"/>
    <w:rsid w:val="00E473C6"/>
    <w:rsid w:val="00E47AA2"/>
    <w:rsid w:val="00E47B59"/>
    <w:rsid w:val="00E47F0C"/>
    <w:rsid w:val="00E50200"/>
    <w:rsid w:val="00E50777"/>
    <w:rsid w:val="00E50ACC"/>
    <w:rsid w:val="00E50DEC"/>
    <w:rsid w:val="00E51146"/>
    <w:rsid w:val="00E5147F"/>
    <w:rsid w:val="00E51631"/>
    <w:rsid w:val="00E51796"/>
    <w:rsid w:val="00E51A95"/>
    <w:rsid w:val="00E526A3"/>
    <w:rsid w:val="00E527AE"/>
    <w:rsid w:val="00E52E43"/>
    <w:rsid w:val="00E52F71"/>
    <w:rsid w:val="00E53058"/>
    <w:rsid w:val="00E53DF5"/>
    <w:rsid w:val="00E5513E"/>
    <w:rsid w:val="00E55646"/>
    <w:rsid w:val="00E556FB"/>
    <w:rsid w:val="00E55B2A"/>
    <w:rsid w:val="00E5611D"/>
    <w:rsid w:val="00E562CA"/>
    <w:rsid w:val="00E56914"/>
    <w:rsid w:val="00E56973"/>
    <w:rsid w:val="00E56AFF"/>
    <w:rsid w:val="00E56F85"/>
    <w:rsid w:val="00E5745B"/>
    <w:rsid w:val="00E575E8"/>
    <w:rsid w:val="00E60902"/>
    <w:rsid w:val="00E60C8F"/>
    <w:rsid w:val="00E60F5F"/>
    <w:rsid w:val="00E62697"/>
    <w:rsid w:val="00E62BA3"/>
    <w:rsid w:val="00E62C9E"/>
    <w:rsid w:val="00E631BF"/>
    <w:rsid w:val="00E63224"/>
    <w:rsid w:val="00E63460"/>
    <w:rsid w:val="00E63592"/>
    <w:rsid w:val="00E63BE3"/>
    <w:rsid w:val="00E63DF7"/>
    <w:rsid w:val="00E6496E"/>
    <w:rsid w:val="00E64A58"/>
    <w:rsid w:val="00E65212"/>
    <w:rsid w:val="00E653B2"/>
    <w:rsid w:val="00E65663"/>
    <w:rsid w:val="00E657A1"/>
    <w:rsid w:val="00E658C6"/>
    <w:rsid w:val="00E66984"/>
    <w:rsid w:val="00E669C3"/>
    <w:rsid w:val="00E669FC"/>
    <w:rsid w:val="00E670D7"/>
    <w:rsid w:val="00E67517"/>
    <w:rsid w:val="00E7046C"/>
    <w:rsid w:val="00E70A31"/>
    <w:rsid w:val="00E70C1F"/>
    <w:rsid w:val="00E70DD6"/>
    <w:rsid w:val="00E7128E"/>
    <w:rsid w:val="00E71A60"/>
    <w:rsid w:val="00E71C59"/>
    <w:rsid w:val="00E71F80"/>
    <w:rsid w:val="00E721FD"/>
    <w:rsid w:val="00E72793"/>
    <w:rsid w:val="00E7280E"/>
    <w:rsid w:val="00E72EC6"/>
    <w:rsid w:val="00E73EFB"/>
    <w:rsid w:val="00E74001"/>
    <w:rsid w:val="00E74FFE"/>
    <w:rsid w:val="00E7532D"/>
    <w:rsid w:val="00E75632"/>
    <w:rsid w:val="00E7579C"/>
    <w:rsid w:val="00E75B4D"/>
    <w:rsid w:val="00E75BB3"/>
    <w:rsid w:val="00E75C81"/>
    <w:rsid w:val="00E75D71"/>
    <w:rsid w:val="00E762F3"/>
    <w:rsid w:val="00E76555"/>
    <w:rsid w:val="00E76692"/>
    <w:rsid w:val="00E7679C"/>
    <w:rsid w:val="00E769B4"/>
    <w:rsid w:val="00E76A4B"/>
    <w:rsid w:val="00E76AB0"/>
    <w:rsid w:val="00E771C3"/>
    <w:rsid w:val="00E771EC"/>
    <w:rsid w:val="00E772EF"/>
    <w:rsid w:val="00E77401"/>
    <w:rsid w:val="00E776F7"/>
    <w:rsid w:val="00E77A98"/>
    <w:rsid w:val="00E77AC2"/>
    <w:rsid w:val="00E77C36"/>
    <w:rsid w:val="00E77DB5"/>
    <w:rsid w:val="00E80288"/>
    <w:rsid w:val="00E8045A"/>
    <w:rsid w:val="00E80BAD"/>
    <w:rsid w:val="00E80F80"/>
    <w:rsid w:val="00E81393"/>
    <w:rsid w:val="00E8200C"/>
    <w:rsid w:val="00E822CC"/>
    <w:rsid w:val="00E82B12"/>
    <w:rsid w:val="00E83BA2"/>
    <w:rsid w:val="00E83BE6"/>
    <w:rsid w:val="00E842B2"/>
    <w:rsid w:val="00E842D6"/>
    <w:rsid w:val="00E844B3"/>
    <w:rsid w:val="00E845A6"/>
    <w:rsid w:val="00E84637"/>
    <w:rsid w:val="00E8488B"/>
    <w:rsid w:val="00E849FD"/>
    <w:rsid w:val="00E84C67"/>
    <w:rsid w:val="00E84C91"/>
    <w:rsid w:val="00E850D7"/>
    <w:rsid w:val="00E851CC"/>
    <w:rsid w:val="00E85268"/>
    <w:rsid w:val="00E85283"/>
    <w:rsid w:val="00E85672"/>
    <w:rsid w:val="00E8576A"/>
    <w:rsid w:val="00E85ABA"/>
    <w:rsid w:val="00E86933"/>
    <w:rsid w:val="00E86B15"/>
    <w:rsid w:val="00E87026"/>
    <w:rsid w:val="00E875DC"/>
    <w:rsid w:val="00E87812"/>
    <w:rsid w:val="00E87E56"/>
    <w:rsid w:val="00E90175"/>
    <w:rsid w:val="00E907B5"/>
    <w:rsid w:val="00E908A6"/>
    <w:rsid w:val="00E91249"/>
    <w:rsid w:val="00E915C4"/>
    <w:rsid w:val="00E9192A"/>
    <w:rsid w:val="00E91AC1"/>
    <w:rsid w:val="00E91D0C"/>
    <w:rsid w:val="00E91FC5"/>
    <w:rsid w:val="00E92029"/>
    <w:rsid w:val="00E92553"/>
    <w:rsid w:val="00E92560"/>
    <w:rsid w:val="00E925B6"/>
    <w:rsid w:val="00E926C1"/>
    <w:rsid w:val="00E92765"/>
    <w:rsid w:val="00E9278C"/>
    <w:rsid w:val="00E931D4"/>
    <w:rsid w:val="00E937B5"/>
    <w:rsid w:val="00E93A0C"/>
    <w:rsid w:val="00E940E5"/>
    <w:rsid w:val="00E941D1"/>
    <w:rsid w:val="00E9446E"/>
    <w:rsid w:val="00E94F65"/>
    <w:rsid w:val="00E95654"/>
    <w:rsid w:val="00E95881"/>
    <w:rsid w:val="00E958F7"/>
    <w:rsid w:val="00E96073"/>
    <w:rsid w:val="00E960ED"/>
    <w:rsid w:val="00E96839"/>
    <w:rsid w:val="00E96ACF"/>
    <w:rsid w:val="00E96B7B"/>
    <w:rsid w:val="00E96DE1"/>
    <w:rsid w:val="00E971ED"/>
    <w:rsid w:val="00E97F9A"/>
    <w:rsid w:val="00EA03D5"/>
    <w:rsid w:val="00EA070A"/>
    <w:rsid w:val="00EA0D05"/>
    <w:rsid w:val="00EA114F"/>
    <w:rsid w:val="00EA13F5"/>
    <w:rsid w:val="00EA2A21"/>
    <w:rsid w:val="00EA2D39"/>
    <w:rsid w:val="00EA311E"/>
    <w:rsid w:val="00EA3624"/>
    <w:rsid w:val="00EA3B10"/>
    <w:rsid w:val="00EA3E6A"/>
    <w:rsid w:val="00EA429E"/>
    <w:rsid w:val="00EA4366"/>
    <w:rsid w:val="00EA4E8E"/>
    <w:rsid w:val="00EA4F9A"/>
    <w:rsid w:val="00EA5096"/>
    <w:rsid w:val="00EA525B"/>
    <w:rsid w:val="00EA57BB"/>
    <w:rsid w:val="00EA5879"/>
    <w:rsid w:val="00EA5EA1"/>
    <w:rsid w:val="00EA5EA9"/>
    <w:rsid w:val="00EA603B"/>
    <w:rsid w:val="00EA68E4"/>
    <w:rsid w:val="00EA6C4B"/>
    <w:rsid w:val="00EA6D11"/>
    <w:rsid w:val="00EA6DCF"/>
    <w:rsid w:val="00EA7B7E"/>
    <w:rsid w:val="00EA7CD7"/>
    <w:rsid w:val="00EA7D9A"/>
    <w:rsid w:val="00EA7F32"/>
    <w:rsid w:val="00EB0695"/>
    <w:rsid w:val="00EB0762"/>
    <w:rsid w:val="00EB08DD"/>
    <w:rsid w:val="00EB0914"/>
    <w:rsid w:val="00EB1126"/>
    <w:rsid w:val="00EB18A5"/>
    <w:rsid w:val="00EB1FD1"/>
    <w:rsid w:val="00EB220E"/>
    <w:rsid w:val="00EB2919"/>
    <w:rsid w:val="00EB2ACB"/>
    <w:rsid w:val="00EB2DA6"/>
    <w:rsid w:val="00EB2DBD"/>
    <w:rsid w:val="00EB32C6"/>
    <w:rsid w:val="00EB4B37"/>
    <w:rsid w:val="00EB4DC0"/>
    <w:rsid w:val="00EB5158"/>
    <w:rsid w:val="00EB564B"/>
    <w:rsid w:val="00EB5D11"/>
    <w:rsid w:val="00EB656E"/>
    <w:rsid w:val="00EB66A2"/>
    <w:rsid w:val="00EB69B3"/>
    <w:rsid w:val="00EB6A3D"/>
    <w:rsid w:val="00EB763A"/>
    <w:rsid w:val="00EB799D"/>
    <w:rsid w:val="00EB79F9"/>
    <w:rsid w:val="00EB7B8D"/>
    <w:rsid w:val="00EC0090"/>
    <w:rsid w:val="00EC045B"/>
    <w:rsid w:val="00EC078C"/>
    <w:rsid w:val="00EC08FB"/>
    <w:rsid w:val="00EC09E7"/>
    <w:rsid w:val="00EC0C66"/>
    <w:rsid w:val="00EC0E70"/>
    <w:rsid w:val="00EC200B"/>
    <w:rsid w:val="00EC202F"/>
    <w:rsid w:val="00EC2184"/>
    <w:rsid w:val="00EC2498"/>
    <w:rsid w:val="00EC2D9F"/>
    <w:rsid w:val="00EC480E"/>
    <w:rsid w:val="00EC5001"/>
    <w:rsid w:val="00EC521B"/>
    <w:rsid w:val="00EC57E5"/>
    <w:rsid w:val="00EC696D"/>
    <w:rsid w:val="00EC6E4F"/>
    <w:rsid w:val="00EC6EC1"/>
    <w:rsid w:val="00EC7B25"/>
    <w:rsid w:val="00ED0B26"/>
    <w:rsid w:val="00ED12B2"/>
    <w:rsid w:val="00ED12B6"/>
    <w:rsid w:val="00ED1FBA"/>
    <w:rsid w:val="00ED2003"/>
    <w:rsid w:val="00ED2587"/>
    <w:rsid w:val="00ED2748"/>
    <w:rsid w:val="00ED2C0F"/>
    <w:rsid w:val="00ED2E74"/>
    <w:rsid w:val="00ED332D"/>
    <w:rsid w:val="00ED384B"/>
    <w:rsid w:val="00ED398F"/>
    <w:rsid w:val="00ED39B1"/>
    <w:rsid w:val="00ED3E25"/>
    <w:rsid w:val="00ED412A"/>
    <w:rsid w:val="00ED433A"/>
    <w:rsid w:val="00ED47FB"/>
    <w:rsid w:val="00ED4EE7"/>
    <w:rsid w:val="00ED5077"/>
    <w:rsid w:val="00ED50D6"/>
    <w:rsid w:val="00ED5196"/>
    <w:rsid w:val="00ED5849"/>
    <w:rsid w:val="00ED58DE"/>
    <w:rsid w:val="00ED5F4B"/>
    <w:rsid w:val="00ED5FC7"/>
    <w:rsid w:val="00ED61CA"/>
    <w:rsid w:val="00ED6526"/>
    <w:rsid w:val="00ED68BC"/>
    <w:rsid w:val="00ED6912"/>
    <w:rsid w:val="00ED6B7C"/>
    <w:rsid w:val="00ED6CDA"/>
    <w:rsid w:val="00ED7048"/>
    <w:rsid w:val="00ED73AA"/>
    <w:rsid w:val="00ED7761"/>
    <w:rsid w:val="00ED7D06"/>
    <w:rsid w:val="00ED7E17"/>
    <w:rsid w:val="00EE0036"/>
    <w:rsid w:val="00EE00DD"/>
    <w:rsid w:val="00EE00FF"/>
    <w:rsid w:val="00EE111E"/>
    <w:rsid w:val="00EE1308"/>
    <w:rsid w:val="00EE13FB"/>
    <w:rsid w:val="00EE1B41"/>
    <w:rsid w:val="00EE2320"/>
    <w:rsid w:val="00EE2956"/>
    <w:rsid w:val="00EE2E0C"/>
    <w:rsid w:val="00EE3535"/>
    <w:rsid w:val="00EE37DD"/>
    <w:rsid w:val="00EE3995"/>
    <w:rsid w:val="00EE3A51"/>
    <w:rsid w:val="00EE48B5"/>
    <w:rsid w:val="00EE4BE1"/>
    <w:rsid w:val="00EE55D8"/>
    <w:rsid w:val="00EE5F0C"/>
    <w:rsid w:val="00EE6066"/>
    <w:rsid w:val="00EE795E"/>
    <w:rsid w:val="00EE7A7B"/>
    <w:rsid w:val="00EE7D22"/>
    <w:rsid w:val="00EE7DD1"/>
    <w:rsid w:val="00EF05C0"/>
    <w:rsid w:val="00EF0E88"/>
    <w:rsid w:val="00EF0FBF"/>
    <w:rsid w:val="00EF1169"/>
    <w:rsid w:val="00EF1312"/>
    <w:rsid w:val="00EF17FE"/>
    <w:rsid w:val="00EF1CC0"/>
    <w:rsid w:val="00EF1CF0"/>
    <w:rsid w:val="00EF20D8"/>
    <w:rsid w:val="00EF281C"/>
    <w:rsid w:val="00EF3369"/>
    <w:rsid w:val="00EF3451"/>
    <w:rsid w:val="00EF34D4"/>
    <w:rsid w:val="00EF3601"/>
    <w:rsid w:val="00EF4379"/>
    <w:rsid w:val="00EF447B"/>
    <w:rsid w:val="00EF478C"/>
    <w:rsid w:val="00EF4E3E"/>
    <w:rsid w:val="00EF54DF"/>
    <w:rsid w:val="00EF55FF"/>
    <w:rsid w:val="00EF58CD"/>
    <w:rsid w:val="00EF5B3F"/>
    <w:rsid w:val="00EF608B"/>
    <w:rsid w:val="00EF6277"/>
    <w:rsid w:val="00EF6430"/>
    <w:rsid w:val="00EF6A26"/>
    <w:rsid w:val="00EF6C98"/>
    <w:rsid w:val="00EF7319"/>
    <w:rsid w:val="00EF73C0"/>
    <w:rsid w:val="00EF7AB5"/>
    <w:rsid w:val="00EF7C04"/>
    <w:rsid w:val="00F00140"/>
    <w:rsid w:val="00F00512"/>
    <w:rsid w:val="00F00A34"/>
    <w:rsid w:val="00F00B3A"/>
    <w:rsid w:val="00F00D5B"/>
    <w:rsid w:val="00F01C59"/>
    <w:rsid w:val="00F02055"/>
    <w:rsid w:val="00F022AB"/>
    <w:rsid w:val="00F025E2"/>
    <w:rsid w:val="00F02FF9"/>
    <w:rsid w:val="00F033D8"/>
    <w:rsid w:val="00F036CB"/>
    <w:rsid w:val="00F04692"/>
    <w:rsid w:val="00F04966"/>
    <w:rsid w:val="00F05730"/>
    <w:rsid w:val="00F05BBE"/>
    <w:rsid w:val="00F05C15"/>
    <w:rsid w:val="00F05EC3"/>
    <w:rsid w:val="00F05EFA"/>
    <w:rsid w:val="00F06524"/>
    <w:rsid w:val="00F06627"/>
    <w:rsid w:val="00F06AA6"/>
    <w:rsid w:val="00F073A1"/>
    <w:rsid w:val="00F07EC8"/>
    <w:rsid w:val="00F1057B"/>
    <w:rsid w:val="00F10957"/>
    <w:rsid w:val="00F10C1B"/>
    <w:rsid w:val="00F10CAA"/>
    <w:rsid w:val="00F1114D"/>
    <w:rsid w:val="00F117DF"/>
    <w:rsid w:val="00F11873"/>
    <w:rsid w:val="00F11ABB"/>
    <w:rsid w:val="00F11DF3"/>
    <w:rsid w:val="00F11E6B"/>
    <w:rsid w:val="00F1231F"/>
    <w:rsid w:val="00F1256A"/>
    <w:rsid w:val="00F126F5"/>
    <w:rsid w:val="00F12FAA"/>
    <w:rsid w:val="00F13206"/>
    <w:rsid w:val="00F1373F"/>
    <w:rsid w:val="00F13BC6"/>
    <w:rsid w:val="00F142D4"/>
    <w:rsid w:val="00F14951"/>
    <w:rsid w:val="00F1495E"/>
    <w:rsid w:val="00F15643"/>
    <w:rsid w:val="00F15AFF"/>
    <w:rsid w:val="00F15B0F"/>
    <w:rsid w:val="00F166BA"/>
    <w:rsid w:val="00F16A14"/>
    <w:rsid w:val="00F16B67"/>
    <w:rsid w:val="00F16F1B"/>
    <w:rsid w:val="00F2028F"/>
    <w:rsid w:val="00F204A1"/>
    <w:rsid w:val="00F20630"/>
    <w:rsid w:val="00F206FD"/>
    <w:rsid w:val="00F208DF"/>
    <w:rsid w:val="00F21063"/>
    <w:rsid w:val="00F2133B"/>
    <w:rsid w:val="00F21E09"/>
    <w:rsid w:val="00F220A2"/>
    <w:rsid w:val="00F228C0"/>
    <w:rsid w:val="00F22902"/>
    <w:rsid w:val="00F22A3C"/>
    <w:rsid w:val="00F23155"/>
    <w:rsid w:val="00F23794"/>
    <w:rsid w:val="00F240A8"/>
    <w:rsid w:val="00F2421F"/>
    <w:rsid w:val="00F242D5"/>
    <w:rsid w:val="00F2477F"/>
    <w:rsid w:val="00F24910"/>
    <w:rsid w:val="00F24AC8"/>
    <w:rsid w:val="00F24B22"/>
    <w:rsid w:val="00F24B64"/>
    <w:rsid w:val="00F24D3D"/>
    <w:rsid w:val="00F2555D"/>
    <w:rsid w:val="00F2573C"/>
    <w:rsid w:val="00F25743"/>
    <w:rsid w:val="00F25D7F"/>
    <w:rsid w:val="00F2656B"/>
    <w:rsid w:val="00F26B9A"/>
    <w:rsid w:val="00F26D31"/>
    <w:rsid w:val="00F27AAE"/>
    <w:rsid w:val="00F27B17"/>
    <w:rsid w:val="00F27C4D"/>
    <w:rsid w:val="00F30183"/>
    <w:rsid w:val="00F309A3"/>
    <w:rsid w:val="00F30C5A"/>
    <w:rsid w:val="00F316C8"/>
    <w:rsid w:val="00F32435"/>
    <w:rsid w:val="00F324BD"/>
    <w:rsid w:val="00F32842"/>
    <w:rsid w:val="00F32CAE"/>
    <w:rsid w:val="00F32FF8"/>
    <w:rsid w:val="00F3337A"/>
    <w:rsid w:val="00F33604"/>
    <w:rsid w:val="00F33788"/>
    <w:rsid w:val="00F33E6E"/>
    <w:rsid w:val="00F34203"/>
    <w:rsid w:val="00F34465"/>
    <w:rsid w:val="00F34AFA"/>
    <w:rsid w:val="00F351A9"/>
    <w:rsid w:val="00F35312"/>
    <w:rsid w:val="00F355D7"/>
    <w:rsid w:val="00F35883"/>
    <w:rsid w:val="00F35B5D"/>
    <w:rsid w:val="00F35C3E"/>
    <w:rsid w:val="00F35EBE"/>
    <w:rsid w:val="00F362BC"/>
    <w:rsid w:val="00F362FB"/>
    <w:rsid w:val="00F368C3"/>
    <w:rsid w:val="00F37521"/>
    <w:rsid w:val="00F4024C"/>
    <w:rsid w:val="00F408E4"/>
    <w:rsid w:val="00F40FA3"/>
    <w:rsid w:val="00F4129C"/>
    <w:rsid w:val="00F41389"/>
    <w:rsid w:val="00F4162D"/>
    <w:rsid w:val="00F41680"/>
    <w:rsid w:val="00F41AE1"/>
    <w:rsid w:val="00F41B0F"/>
    <w:rsid w:val="00F41D52"/>
    <w:rsid w:val="00F42169"/>
    <w:rsid w:val="00F428B4"/>
    <w:rsid w:val="00F431A1"/>
    <w:rsid w:val="00F4342C"/>
    <w:rsid w:val="00F438A0"/>
    <w:rsid w:val="00F43DB2"/>
    <w:rsid w:val="00F43F29"/>
    <w:rsid w:val="00F4486E"/>
    <w:rsid w:val="00F448A0"/>
    <w:rsid w:val="00F44DFF"/>
    <w:rsid w:val="00F45212"/>
    <w:rsid w:val="00F45A2E"/>
    <w:rsid w:val="00F45B08"/>
    <w:rsid w:val="00F45C6C"/>
    <w:rsid w:val="00F46507"/>
    <w:rsid w:val="00F46614"/>
    <w:rsid w:val="00F46806"/>
    <w:rsid w:val="00F475CC"/>
    <w:rsid w:val="00F47B72"/>
    <w:rsid w:val="00F47E31"/>
    <w:rsid w:val="00F47FAB"/>
    <w:rsid w:val="00F5084C"/>
    <w:rsid w:val="00F50898"/>
    <w:rsid w:val="00F50A0C"/>
    <w:rsid w:val="00F50C4B"/>
    <w:rsid w:val="00F512DD"/>
    <w:rsid w:val="00F5137F"/>
    <w:rsid w:val="00F514FB"/>
    <w:rsid w:val="00F51F64"/>
    <w:rsid w:val="00F525E0"/>
    <w:rsid w:val="00F52DA6"/>
    <w:rsid w:val="00F53288"/>
    <w:rsid w:val="00F53629"/>
    <w:rsid w:val="00F537CF"/>
    <w:rsid w:val="00F5381C"/>
    <w:rsid w:val="00F53872"/>
    <w:rsid w:val="00F5444C"/>
    <w:rsid w:val="00F557CE"/>
    <w:rsid w:val="00F55907"/>
    <w:rsid w:val="00F55A14"/>
    <w:rsid w:val="00F55FBA"/>
    <w:rsid w:val="00F56160"/>
    <w:rsid w:val="00F5648A"/>
    <w:rsid w:val="00F565B3"/>
    <w:rsid w:val="00F56639"/>
    <w:rsid w:val="00F568F9"/>
    <w:rsid w:val="00F56AC8"/>
    <w:rsid w:val="00F56C26"/>
    <w:rsid w:val="00F56FAA"/>
    <w:rsid w:val="00F56FE3"/>
    <w:rsid w:val="00F571C1"/>
    <w:rsid w:val="00F57378"/>
    <w:rsid w:val="00F573FD"/>
    <w:rsid w:val="00F57A42"/>
    <w:rsid w:val="00F57FC0"/>
    <w:rsid w:val="00F60329"/>
    <w:rsid w:val="00F608FC"/>
    <w:rsid w:val="00F60AEE"/>
    <w:rsid w:val="00F612BA"/>
    <w:rsid w:val="00F6157C"/>
    <w:rsid w:val="00F61B0F"/>
    <w:rsid w:val="00F63057"/>
    <w:rsid w:val="00F63099"/>
    <w:rsid w:val="00F631A9"/>
    <w:rsid w:val="00F63615"/>
    <w:rsid w:val="00F63B04"/>
    <w:rsid w:val="00F63B70"/>
    <w:rsid w:val="00F63F4E"/>
    <w:rsid w:val="00F64A10"/>
    <w:rsid w:val="00F64A2A"/>
    <w:rsid w:val="00F64AC5"/>
    <w:rsid w:val="00F64E9E"/>
    <w:rsid w:val="00F651F6"/>
    <w:rsid w:val="00F6589B"/>
    <w:rsid w:val="00F65AF4"/>
    <w:rsid w:val="00F66945"/>
    <w:rsid w:val="00F66D33"/>
    <w:rsid w:val="00F66DC4"/>
    <w:rsid w:val="00F670C6"/>
    <w:rsid w:val="00F67814"/>
    <w:rsid w:val="00F700AB"/>
    <w:rsid w:val="00F700D3"/>
    <w:rsid w:val="00F702E9"/>
    <w:rsid w:val="00F707BE"/>
    <w:rsid w:val="00F70E7E"/>
    <w:rsid w:val="00F716FB"/>
    <w:rsid w:val="00F71B69"/>
    <w:rsid w:val="00F71EC5"/>
    <w:rsid w:val="00F72931"/>
    <w:rsid w:val="00F72CEB"/>
    <w:rsid w:val="00F7319E"/>
    <w:rsid w:val="00F734F4"/>
    <w:rsid w:val="00F74196"/>
    <w:rsid w:val="00F744B9"/>
    <w:rsid w:val="00F74EBA"/>
    <w:rsid w:val="00F751F5"/>
    <w:rsid w:val="00F7553B"/>
    <w:rsid w:val="00F75F95"/>
    <w:rsid w:val="00F7633F"/>
    <w:rsid w:val="00F7645A"/>
    <w:rsid w:val="00F765A3"/>
    <w:rsid w:val="00F7660D"/>
    <w:rsid w:val="00F76CDF"/>
    <w:rsid w:val="00F76EFA"/>
    <w:rsid w:val="00F76F6A"/>
    <w:rsid w:val="00F77432"/>
    <w:rsid w:val="00F779D0"/>
    <w:rsid w:val="00F77BF5"/>
    <w:rsid w:val="00F77DDB"/>
    <w:rsid w:val="00F80056"/>
    <w:rsid w:val="00F80732"/>
    <w:rsid w:val="00F80A54"/>
    <w:rsid w:val="00F80D6B"/>
    <w:rsid w:val="00F81FED"/>
    <w:rsid w:val="00F82B60"/>
    <w:rsid w:val="00F8315C"/>
    <w:rsid w:val="00F84B63"/>
    <w:rsid w:val="00F84BCF"/>
    <w:rsid w:val="00F86D6F"/>
    <w:rsid w:val="00F8776F"/>
    <w:rsid w:val="00F8778D"/>
    <w:rsid w:val="00F87981"/>
    <w:rsid w:val="00F87B1C"/>
    <w:rsid w:val="00F87F09"/>
    <w:rsid w:val="00F9192B"/>
    <w:rsid w:val="00F919E5"/>
    <w:rsid w:val="00F91A90"/>
    <w:rsid w:val="00F91C7E"/>
    <w:rsid w:val="00F9276E"/>
    <w:rsid w:val="00F92E53"/>
    <w:rsid w:val="00F92F1D"/>
    <w:rsid w:val="00F931CD"/>
    <w:rsid w:val="00F93315"/>
    <w:rsid w:val="00F93885"/>
    <w:rsid w:val="00F94D74"/>
    <w:rsid w:val="00F9543D"/>
    <w:rsid w:val="00F9546F"/>
    <w:rsid w:val="00F958CF"/>
    <w:rsid w:val="00F95BED"/>
    <w:rsid w:val="00F96313"/>
    <w:rsid w:val="00F963D2"/>
    <w:rsid w:val="00F9662B"/>
    <w:rsid w:val="00F96762"/>
    <w:rsid w:val="00F967DE"/>
    <w:rsid w:val="00F96BEB"/>
    <w:rsid w:val="00F96EE5"/>
    <w:rsid w:val="00F970FD"/>
    <w:rsid w:val="00F9718B"/>
    <w:rsid w:val="00F97B43"/>
    <w:rsid w:val="00FA01CA"/>
    <w:rsid w:val="00FA0325"/>
    <w:rsid w:val="00FA0F6F"/>
    <w:rsid w:val="00FA113D"/>
    <w:rsid w:val="00FA12A3"/>
    <w:rsid w:val="00FA1A36"/>
    <w:rsid w:val="00FA2189"/>
    <w:rsid w:val="00FA2209"/>
    <w:rsid w:val="00FA27F8"/>
    <w:rsid w:val="00FA2892"/>
    <w:rsid w:val="00FA2909"/>
    <w:rsid w:val="00FA2B23"/>
    <w:rsid w:val="00FA2B82"/>
    <w:rsid w:val="00FA2EAC"/>
    <w:rsid w:val="00FA3164"/>
    <w:rsid w:val="00FA34E8"/>
    <w:rsid w:val="00FA34FF"/>
    <w:rsid w:val="00FA390A"/>
    <w:rsid w:val="00FA3C95"/>
    <w:rsid w:val="00FA3D52"/>
    <w:rsid w:val="00FA4C71"/>
    <w:rsid w:val="00FA51BB"/>
    <w:rsid w:val="00FA53CB"/>
    <w:rsid w:val="00FA57EA"/>
    <w:rsid w:val="00FA5B22"/>
    <w:rsid w:val="00FA63F5"/>
    <w:rsid w:val="00FA682A"/>
    <w:rsid w:val="00FA6A03"/>
    <w:rsid w:val="00FA7460"/>
    <w:rsid w:val="00FA780B"/>
    <w:rsid w:val="00FA7CA4"/>
    <w:rsid w:val="00FA7DE7"/>
    <w:rsid w:val="00FB0133"/>
    <w:rsid w:val="00FB020B"/>
    <w:rsid w:val="00FB0890"/>
    <w:rsid w:val="00FB0AB2"/>
    <w:rsid w:val="00FB0C2B"/>
    <w:rsid w:val="00FB0C7A"/>
    <w:rsid w:val="00FB0CBE"/>
    <w:rsid w:val="00FB0E18"/>
    <w:rsid w:val="00FB121F"/>
    <w:rsid w:val="00FB13E2"/>
    <w:rsid w:val="00FB219D"/>
    <w:rsid w:val="00FB2626"/>
    <w:rsid w:val="00FB2758"/>
    <w:rsid w:val="00FB2BA7"/>
    <w:rsid w:val="00FB2C69"/>
    <w:rsid w:val="00FB3136"/>
    <w:rsid w:val="00FB3701"/>
    <w:rsid w:val="00FB3BAA"/>
    <w:rsid w:val="00FB3DD4"/>
    <w:rsid w:val="00FB44C1"/>
    <w:rsid w:val="00FB46FF"/>
    <w:rsid w:val="00FB4889"/>
    <w:rsid w:val="00FB4B85"/>
    <w:rsid w:val="00FB5328"/>
    <w:rsid w:val="00FB57D8"/>
    <w:rsid w:val="00FB5966"/>
    <w:rsid w:val="00FB6B4E"/>
    <w:rsid w:val="00FB6D75"/>
    <w:rsid w:val="00FB6E34"/>
    <w:rsid w:val="00FB7248"/>
    <w:rsid w:val="00FB7265"/>
    <w:rsid w:val="00FB7336"/>
    <w:rsid w:val="00FB7706"/>
    <w:rsid w:val="00FB7B6A"/>
    <w:rsid w:val="00FB7BC5"/>
    <w:rsid w:val="00FB7E83"/>
    <w:rsid w:val="00FC0E05"/>
    <w:rsid w:val="00FC1EA0"/>
    <w:rsid w:val="00FC2A0B"/>
    <w:rsid w:val="00FC2B55"/>
    <w:rsid w:val="00FC2CAA"/>
    <w:rsid w:val="00FC32F0"/>
    <w:rsid w:val="00FC3324"/>
    <w:rsid w:val="00FC33B9"/>
    <w:rsid w:val="00FC387A"/>
    <w:rsid w:val="00FC40BF"/>
    <w:rsid w:val="00FC40FB"/>
    <w:rsid w:val="00FC4302"/>
    <w:rsid w:val="00FC458F"/>
    <w:rsid w:val="00FC4622"/>
    <w:rsid w:val="00FC4F00"/>
    <w:rsid w:val="00FC5E81"/>
    <w:rsid w:val="00FC61E0"/>
    <w:rsid w:val="00FC6221"/>
    <w:rsid w:val="00FC665E"/>
    <w:rsid w:val="00FC6977"/>
    <w:rsid w:val="00FC6E6B"/>
    <w:rsid w:val="00FC714E"/>
    <w:rsid w:val="00FC7CF2"/>
    <w:rsid w:val="00FD02A5"/>
    <w:rsid w:val="00FD0BFC"/>
    <w:rsid w:val="00FD0CEC"/>
    <w:rsid w:val="00FD0DA8"/>
    <w:rsid w:val="00FD1012"/>
    <w:rsid w:val="00FD166E"/>
    <w:rsid w:val="00FD185D"/>
    <w:rsid w:val="00FD1C23"/>
    <w:rsid w:val="00FD1EA1"/>
    <w:rsid w:val="00FD20AF"/>
    <w:rsid w:val="00FD25DE"/>
    <w:rsid w:val="00FD26E5"/>
    <w:rsid w:val="00FD272B"/>
    <w:rsid w:val="00FD28C9"/>
    <w:rsid w:val="00FD2B5B"/>
    <w:rsid w:val="00FD344F"/>
    <w:rsid w:val="00FD3DD5"/>
    <w:rsid w:val="00FD3F95"/>
    <w:rsid w:val="00FD40F1"/>
    <w:rsid w:val="00FD444C"/>
    <w:rsid w:val="00FD4D1A"/>
    <w:rsid w:val="00FD4E7E"/>
    <w:rsid w:val="00FD521D"/>
    <w:rsid w:val="00FD585D"/>
    <w:rsid w:val="00FD5A02"/>
    <w:rsid w:val="00FD5A64"/>
    <w:rsid w:val="00FD5F4B"/>
    <w:rsid w:val="00FD68D1"/>
    <w:rsid w:val="00FD6AB6"/>
    <w:rsid w:val="00FD7093"/>
    <w:rsid w:val="00FD7370"/>
    <w:rsid w:val="00FD7889"/>
    <w:rsid w:val="00FD7BE2"/>
    <w:rsid w:val="00FE0368"/>
    <w:rsid w:val="00FE0B92"/>
    <w:rsid w:val="00FE0D95"/>
    <w:rsid w:val="00FE0E3B"/>
    <w:rsid w:val="00FE0EFC"/>
    <w:rsid w:val="00FE10B4"/>
    <w:rsid w:val="00FE18B2"/>
    <w:rsid w:val="00FE25A3"/>
    <w:rsid w:val="00FE25FE"/>
    <w:rsid w:val="00FE26A9"/>
    <w:rsid w:val="00FE28B2"/>
    <w:rsid w:val="00FE2C89"/>
    <w:rsid w:val="00FE2F3A"/>
    <w:rsid w:val="00FE3382"/>
    <w:rsid w:val="00FE3CC1"/>
    <w:rsid w:val="00FE4E7D"/>
    <w:rsid w:val="00FE4F47"/>
    <w:rsid w:val="00FE5101"/>
    <w:rsid w:val="00FE5234"/>
    <w:rsid w:val="00FE55B9"/>
    <w:rsid w:val="00FE5D1B"/>
    <w:rsid w:val="00FE5DED"/>
    <w:rsid w:val="00FE65C3"/>
    <w:rsid w:val="00FE685F"/>
    <w:rsid w:val="00FE6F57"/>
    <w:rsid w:val="00FE7694"/>
    <w:rsid w:val="00FE7EE7"/>
    <w:rsid w:val="00FF023B"/>
    <w:rsid w:val="00FF0CE8"/>
    <w:rsid w:val="00FF10D3"/>
    <w:rsid w:val="00FF15F7"/>
    <w:rsid w:val="00FF213E"/>
    <w:rsid w:val="00FF23C2"/>
    <w:rsid w:val="00FF299B"/>
    <w:rsid w:val="00FF2CBE"/>
    <w:rsid w:val="00FF2DF6"/>
    <w:rsid w:val="00FF3110"/>
    <w:rsid w:val="00FF32DA"/>
    <w:rsid w:val="00FF3820"/>
    <w:rsid w:val="00FF3A4B"/>
    <w:rsid w:val="00FF46BA"/>
    <w:rsid w:val="00FF46E3"/>
    <w:rsid w:val="00FF4962"/>
    <w:rsid w:val="00FF4CF4"/>
    <w:rsid w:val="00FF4D0F"/>
    <w:rsid w:val="00FF4F71"/>
    <w:rsid w:val="00FF509B"/>
    <w:rsid w:val="00FF57B4"/>
    <w:rsid w:val="00FF5BFA"/>
    <w:rsid w:val="00FF6091"/>
    <w:rsid w:val="00FF60B2"/>
    <w:rsid w:val="00FF661A"/>
    <w:rsid w:val="00FF67F8"/>
    <w:rsid w:val="00FF6B99"/>
    <w:rsid w:val="00FF719E"/>
    <w:rsid w:val="00FF7235"/>
    <w:rsid w:val="00FF74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D6970"/>
  <w15:chartTrackingRefBased/>
  <w15:docId w15:val="{0F5C52E1-56EB-4387-BD67-93BF20A8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27"/>
    <w:pPr>
      <w:spacing w:before="100" w:after="100" w:line="240" w:lineRule="auto"/>
      <w:jc w:val="both"/>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408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08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6091"/>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A72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5056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7D1"/>
    <w:pPr>
      <w:tabs>
        <w:tab w:val="center" w:pos="4513"/>
        <w:tab w:val="right" w:pos="9026"/>
      </w:tabs>
      <w:spacing w:after="0"/>
    </w:pPr>
  </w:style>
  <w:style w:type="character" w:customStyle="1" w:styleId="HeaderChar">
    <w:name w:val="Header Char"/>
    <w:basedOn w:val="DefaultParagraphFont"/>
    <w:link w:val="Header"/>
    <w:uiPriority w:val="99"/>
    <w:rsid w:val="00DE77D1"/>
  </w:style>
  <w:style w:type="paragraph" w:styleId="Footer">
    <w:name w:val="footer"/>
    <w:basedOn w:val="Normal"/>
    <w:link w:val="FooterChar"/>
    <w:uiPriority w:val="99"/>
    <w:unhideWhenUsed/>
    <w:rsid w:val="00DE77D1"/>
    <w:pPr>
      <w:tabs>
        <w:tab w:val="center" w:pos="4513"/>
        <w:tab w:val="right" w:pos="9026"/>
      </w:tabs>
      <w:spacing w:after="0"/>
    </w:pPr>
  </w:style>
  <w:style w:type="character" w:customStyle="1" w:styleId="FooterChar">
    <w:name w:val="Footer Char"/>
    <w:basedOn w:val="DefaultParagraphFont"/>
    <w:link w:val="Footer"/>
    <w:uiPriority w:val="99"/>
    <w:rsid w:val="00DE77D1"/>
  </w:style>
  <w:style w:type="character" w:customStyle="1" w:styleId="Heading1Char">
    <w:name w:val="Heading 1 Char"/>
    <w:basedOn w:val="DefaultParagraphFont"/>
    <w:link w:val="Heading1"/>
    <w:uiPriority w:val="9"/>
    <w:rsid w:val="00140804"/>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140804"/>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aliases w:val="Listas,FooterText,Bullet List,List Paragraph1,numbered,Paragraphe de liste1,Bulletr List Paragraph,列出段落,列出段落1,Parágrafo da Lista1,List Paragraph2,List Paragraph21,List Paragraph11,Listeafsnit1,Párrafo de lista1,リスト段落1,Bullet list,RUS List"/>
    <w:basedOn w:val="Normal"/>
    <w:link w:val="ListParagraphChar"/>
    <w:uiPriority w:val="34"/>
    <w:qFormat/>
    <w:rsid w:val="00FF2CBE"/>
    <w:pPr>
      <w:ind w:left="720"/>
      <w:contextualSpacing/>
    </w:pPr>
  </w:style>
  <w:style w:type="character" w:customStyle="1" w:styleId="Heading3Char">
    <w:name w:val="Heading 3 Char"/>
    <w:basedOn w:val="DefaultParagraphFont"/>
    <w:link w:val="Heading3"/>
    <w:uiPriority w:val="9"/>
    <w:rsid w:val="00FF6091"/>
    <w:rPr>
      <w:rFonts w:asciiTheme="majorHAnsi" w:eastAsiaTheme="majorEastAsia" w:hAnsiTheme="majorHAnsi" w:cstheme="majorBidi"/>
      <w:color w:val="1F3763" w:themeColor="accent1" w:themeShade="7F"/>
      <w:sz w:val="24"/>
      <w:szCs w:val="24"/>
      <w:lang w:eastAsia="en-GB"/>
    </w:rPr>
  </w:style>
  <w:style w:type="paragraph" w:styleId="TOCHeading">
    <w:name w:val="TOC Heading"/>
    <w:basedOn w:val="Heading1"/>
    <w:next w:val="Normal"/>
    <w:uiPriority w:val="39"/>
    <w:unhideWhenUsed/>
    <w:qFormat/>
    <w:rsid w:val="003502F5"/>
    <w:pPr>
      <w:spacing w:line="259" w:lineRule="auto"/>
      <w:jc w:val="left"/>
      <w:outlineLvl w:val="9"/>
    </w:pPr>
    <w:rPr>
      <w:lang w:val="en-US" w:eastAsia="en-US"/>
    </w:rPr>
  </w:style>
  <w:style w:type="paragraph" w:styleId="TOC1">
    <w:name w:val="toc 1"/>
    <w:basedOn w:val="Normal"/>
    <w:next w:val="Normal"/>
    <w:autoRedefine/>
    <w:uiPriority w:val="39"/>
    <w:unhideWhenUsed/>
    <w:rsid w:val="00495424"/>
    <w:pPr>
      <w:tabs>
        <w:tab w:val="left" w:pos="480"/>
        <w:tab w:val="right" w:leader="dot" w:pos="9530"/>
      </w:tabs>
    </w:pPr>
  </w:style>
  <w:style w:type="paragraph" w:styleId="TOC2">
    <w:name w:val="toc 2"/>
    <w:basedOn w:val="Normal"/>
    <w:next w:val="Normal"/>
    <w:autoRedefine/>
    <w:uiPriority w:val="39"/>
    <w:unhideWhenUsed/>
    <w:rsid w:val="00C65914"/>
    <w:pPr>
      <w:tabs>
        <w:tab w:val="left" w:pos="1100"/>
        <w:tab w:val="right" w:leader="dot" w:pos="9530"/>
      </w:tabs>
      <w:ind w:left="240"/>
    </w:pPr>
    <w:rPr>
      <w:rFonts w:ascii="Arial" w:hAnsi="Arial" w:cs="Arial"/>
      <w:noProof/>
      <w:lang w:val="en-US"/>
    </w:rPr>
  </w:style>
  <w:style w:type="paragraph" w:styleId="TOC3">
    <w:name w:val="toc 3"/>
    <w:basedOn w:val="Normal"/>
    <w:next w:val="Normal"/>
    <w:autoRedefine/>
    <w:uiPriority w:val="39"/>
    <w:unhideWhenUsed/>
    <w:rsid w:val="004A448B"/>
    <w:pPr>
      <w:tabs>
        <w:tab w:val="left" w:pos="1320"/>
        <w:tab w:val="right" w:leader="dot" w:pos="9530"/>
      </w:tabs>
      <w:ind w:left="480"/>
    </w:pPr>
  </w:style>
  <w:style w:type="character" w:styleId="Hyperlink">
    <w:name w:val="Hyperlink"/>
    <w:basedOn w:val="DefaultParagraphFont"/>
    <w:uiPriority w:val="99"/>
    <w:unhideWhenUsed/>
    <w:rsid w:val="003502F5"/>
    <w:rPr>
      <w:color w:val="0563C1" w:themeColor="hyperlink"/>
      <w:u w:val="single"/>
    </w:rPr>
  </w:style>
  <w:style w:type="paragraph" w:customStyle="1" w:styleId="BODYSTYLE">
    <w:name w:val="BODY STYLE"/>
    <w:link w:val="BODYSTYLEChar"/>
    <w:uiPriority w:val="99"/>
    <w:qFormat/>
    <w:rsid w:val="003F5A98"/>
    <w:pPr>
      <w:tabs>
        <w:tab w:val="left" w:pos="1440"/>
      </w:tabs>
      <w:spacing w:before="100" w:after="100" w:line="240" w:lineRule="auto"/>
      <w:jc w:val="both"/>
    </w:pPr>
    <w:rPr>
      <w:rFonts w:ascii="Arial" w:eastAsia="Times New Roman" w:hAnsi="Arial" w:cs="Arial"/>
      <w:color w:val="000000"/>
      <w:sz w:val="20"/>
      <w:szCs w:val="18"/>
      <w:lang w:val="en-US"/>
    </w:rPr>
  </w:style>
  <w:style w:type="character" w:customStyle="1" w:styleId="BODYSTYLEChar">
    <w:name w:val="BODY STYLE Char"/>
    <w:basedOn w:val="DefaultParagraphFont"/>
    <w:link w:val="BODYSTYLE"/>
    <w:uiPriority w:val="99"/>
    <w:locked/>
    <w:rsid w:val="003F5A98"/>
    <w:rPr>
      <w:rFonts w:ascii="Arial" w:eastAsia="Times New Roman" w:hAnsi="Arial" w:cs="Arial"/>
      <w:color w:val="000000"/>
      <w:sz w:val="20"/>
      <w:szCs w:val="18"/>
      <w:lang w:val="en-US"/>
    </w:rPr>
  </w:style>
  <w:style w:type="character" w:styleId="CommentReference">
    <w:name w:val="annotation reference"/>
    <w:basedOn w:val="DefaultParagraphFont"/>
    <w:uiPriority w:val="99"/>
    <w:semiHidden/>
    <w:unhideWhenUsed/>
    <w:rsid w:val="00820E11"/>
    <w:rPr>
      <w:sz w:val="16"/>
      <w:szCs w:val="16"/>
    </w:rPr>
  </w:style>
  <w:style w:type="paragraph" w:styleId="CommentText">
    <w:name w:val="annotation text"/>
    <w:basedOn w:val="Normal"/>
    <w:link w:val="CommentTextChar"/>
    <w:uiPriority w:val="99"/>
    <w:unhideWhenUsed/>
    <w:rsid w:val="00820E11"/>
    <w:rPr>
      <w:sz w:val="20"/>
      <w:szCs w:val="20"/>
    </w:rPr>
  </w:style>
  <w:style w:type="character" w:customStyle="1" w:styleId="CommentTextChar">
    <w:name w:val="Comment Text Char"/>
    <w:basedOn w:val="DefaultParagraphFont"/>
    <w:link w:val="CommentText"/>
    <w:uiPriority w:val="99"/>
    <w:rsid w:val="00820E1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20E11"/>
    <w:rPr>
      <w:b/>
      <w:bCs/>
    </w:rPr>
  </w:style>
  <w:style w:type="character" w:customStyle="1" w:styleId="CommentSubjectChar">
    <w:name w:val="Comment Subject Char"/>
    <w:basedOn w:val="CommentTextChar"/>
    <w:link w:val="CommentSubject"/>
    <w:uiPriority w:val="99"/>
    <w:semiHidden/>
    <w:rsid w:val="00820E1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20E1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E11"/>
    <w:rPr>
      <w:rFonts w:ascii="Segoe UI" w:eastAsia="Times New Roman" w:hAnsi="Segoe UI" w:cs="Segoe UI"/>
      <w:sz w:val="18"/>
      <w:szCs w:val="18"/>
      <w:lang w:eastAsia="en-GB"/>
    </w:rPr>
  </w:style>
  <w:style w:type="paragraph" w:styleId="TOC4">
    <w:name w:val="toc 4"/>
    <w:basedOn w:val="Normal"/>
    <w:next w:val="Normal"/>
    <w:autoRedefine/>
    <w:uiPriority w:val="39"/>
    <w:unhideWhenUsed/>
    <w:rsid w:val="008E750D"/>
    <w:pPr>
      <w:spacing w:before="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E750D"/>
    <w:pPr>
      <w:spacing w:before="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E750D"/>
    <w:pPr>
      <w:spacing w:before="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E750D"/>
    <w:pPr>
      <w:spacing w:before="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E750D"/>
    <w:pPr>
      <w:spacing w:before="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E750D"/>
    <w:pPr>
      <w:spacing w:before="0" w:line="259" w:lineRule="auto"/>
      <w:ind w:left="1760"/>
      <w:jc w:val="left"/>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rsid w:val="009A721E"/>
    <w:rPr>
      <w:rFonts w:asciiTheme="majorHAnsi" w:eastAsiaTheme="majorEastAsia" w:hAnsiTheme="majorHAnsi" w:cstheme="majorBidi"/>
      <w:i/>
      <w:iCs/>
      <w:color w:val="2F5496" w:themeColor="accent1" w:themeShade="BF"/>
      <w:sz w:val="24"/>
      <w:szCs w:val="24"/>
      <w:lang w:eastAsia="en-GB"/>
    </w:rPr>
  </w:style>
  <w:style w:type="table" w:styleId="TableGrid">
    <w:name w:val="Table Grid"/>
    <w:basedOn w:val="TableNormal"/>
    <w:uiPriority w:val="39"/>
    <w:rsid w:val="000F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53B2"/>
    <w:pPr>
      <w:autoSpaceDE w:val="0"/>
      <w:autoSpaceDN w:val="0"/>
      <w:adjustRightInd w:val="0"/>
      <w:spacing w:after="0" w:line="240" w:lineRule="auto"/>
    </w:pPr>
    <w:rPr>
      <w:rFonts w:ascii="Arial" w:hAnsi="Arial" w:cs="Arial"/>
      <w:color w:val="000000"/>
      <w:sz w:val="24"/>
      <w:szCs w:val="24"/>
      <w:lang w:val="en-US"/>
    </w:rPr>
  </w:style>
  <w:style w:type="paragraph" w:styleId="FootnoteText">
    <w:name w:val="footnote text"/>
    <w:basedOn w:val="Normal"/>
    <w:link w:val="FootnoteTextChar"/>
    <w:uiPriority w:val="99"/>
    <w:unhideWhenUsed/>
    <w:rsid w:val="00507413"/>
    <w:pPr>
      <w:spacing w:before="0" w:after="0"/>
      <w:jc w:val="left"/>
    </w:pPr>
    <w:rPr>
      <w:rFonts w:ascii="Arial" w:eastAsiaTheme="minorHAnsi" w:hAnsi="Arial" w:cs="Arial"/>
      <w:sz w:val="20"/>
      <w:szCs w:val="20"/>
      <w:lang w:eastAsia="en-US"/>
    </w:rPr>
  </w:style>
  <w:style w:type="character" w:customStyle="1" w:styleId="FootnoteTextChar">
    <w:name w:val="Footnote Text Char"/>
    <w:basedOn w:val="DefaultParagraphFont"/>
    <w:link w:val="FootnoteText"/>
    <w:uiPriority w:val="99"/>
    <w:rsid w:val="00507413"/>
    <w:rPr>
      <w:rFonts w:ascii="Arial" w:hAnsi="Arial" w:cs="Arial"/>
      <w:sz w:val="20"/>
      <w:szCs w:val="20"/>
    </w:rPr>
  </w:style>
  <w:style w:type="character" w:styleId="FootnoteReference">
    <w:name w:val="footnote reference"/>
    <w:basedOn w:val="DefaultParagraphFont"/>
    <w:uiPriority w:val="99"/>
    <w:unhideWhenUsed/>
    <w:rsid w:val="00507413"/>
    <w:rPr>
      <w:vertAlign w:val="superscript"/>
    </w:rPr>
  </w:style>
  <w:style w:type="paragraph" w:styleId="EndnoteText">
    <w:name w:val="endnote text"/>
    <w:basedOn w:val="Normal"/>
    <w:link w:val="EndnoteTextChar"/>
    <w:uiPriority w:val="99"/>
    <w:semiHidden/>
    <w:unhideWhenUsed/>
    <w:rsid w:val="00854C08"/>
    <w:pPr>
      <w:spacing w:before="0" w:after="0"/>
    </w:pPr>
    <w:rPr>
      <w:sz w:val="20"/>
      <w:szCs w:val="20"/>
    </w:rPr>
  </w:style>
  <w:style w:type="character" w:customStyle="1" w:styleId="EndnoteTextChar">
    <w:name w:val="Endnote Text Char"/>
    <w:basedOn w:val="DefaultParagraphFont"/>
    <w:link w:val="EndnoteText"/>
    <w:uiPriority w:val="99"/>
    <w:semiHidden/>
    <w:rsid w:val="00854C08"/>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854C08"/>
    <w:rPr>
      <w:vertAlign w:val="superscript"/>
    </w:rPr>
  </w:style>
  <w:style w:type="character" w:customStyle="1" w:styleId="UnresolvedMention1">
    <w:name w:val="Unresolved Mention1"/>
    <w:basedOn w:val="DefaultParagraphFont"/>
    <w:uiPriority w:val="99"/>
    <w:semiHidden/>
    <w:unhideWhenUsed/>
    <w:rsid w:val="002810A3"/>
    <w:rPr>
      <w:color w:val="605E5C"/>
      <w:shd w:val="clear" w:color="auto" w:fill="E1DFDD"/>
    </w:rPr>
  </w:style>
  <w:style w:type="table" w:customStyle="1" w:styleId="SmartTextTable5">
    <w:name w:val="Smart Text Table5"/>
    <w:basedOn w:val="TableNormal"/>
    <w:uiPriority w:val="59"/>
    <w:rsid w:val="00E850D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as Char,FooterText Char,Bullet List Char,List Paragraph1 Char,numbered Char,Paragraphe de liste1 Char,Bulletr List Paragraph Char,列出段落 Char,列出段落1 Char,Parágrafo da Lista1 Char,List Paragraph2 Char,List Paragraph21 Char"/>
    <w:basedOn w:val="DefaultParagraphFont"/>
    <w:link w:val="ListParagraph"/>
    <w:uiPriority w:val="34"/>
    <w:rsid w:val="00517B5F"/>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224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2610"/>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A71327"/>
    <w:rPr>
      <w:color w:val="605E5C"/>
      <w:shd w:val="clear" w:color="auto" w:fill="E1DFDD"/>
    </w:rPr>
  </w:style>
  <w:style w:type="character" w:styleId="Mention">
    <w:name w:val="Mention"/>
    <w:basedOn w:val="DefaultParagraphFont"/>
    <w:uiPriority w:val="99"/>
    <w:unhideWhenUsed/>
    <w:rsid w:val="00A71327"/>
    <w:rPr>
      <w:color w:val="2B579A"/>
      <w:shd w:val="clear" w:color="auto" w:fill="E1DFDD"/>
    </w:rPr>
  </w:style>
  <w:style w:type="character" w:customStyle="1" w:styleId="ui-provider">
    <w:name w:val="ui-provider"/>
    <w:basedOn w:val="DefaultParagraphFont"/>
    <w:rsid w:val="00576406"/>
  </w:style>
  <w:style w:type="character" w:customStyle="1" w:styleId="Heading5Char">
    <w:name w:val="Heading 5 Char"/>
    <w:basedOn w:val="DefaultParagraphFont"/>
    <w:link w:val="Heading5"/>
    <w:uiPriority w:val="9"/>
    <w:rsid w:val="00650560"/>
    <w:rPr>
      <w:rFonts w:asciiTheme="majorHAnsi" w:eastAsiaTheme="majorEastAsia" w:hAnsiTheme="majorHAnsi" w:cstheme="majorBidi"/>
      <w:color w:val="2F5496" w:themeColor="accent1" w:themeShade="BF"/>
      <w:sz w:val="24"/>
      <w:szCs w:val="24"/>
      <w:lang w:eastAsia="en-GB"/>
    </w:rPr>
  </w:style>
  <w:style w:type="paragraph" w:customStyle="1" w:styleId="CoverTitle">
    <w:name w:val="Cover Title"/>
    <w:next w:val="Normal"/>
    <w:link w:val="CoverTitleChar"/>
    <w:rsid w:val="00D340B6"/>
    <w:pPr>
      <w:spacing w:before="3600" w:after="120" w:line="240" w:lineRule="auto"/>
    </w:pPr>
    <w:rPr>
      <w:rFonts w:ascii="Arial" w:eastAsia="PMingLiU" w:hAnsi="Arial" w:cs="Times New Roman"/>
      <w:bCs/>
      <w:color w:val="002D72"/>
      <w:sz w:val="48"/>
      <w:szCs w:val="20"/>
    </w:rPr>
  </w:style>
  <w:style w:type="character" w:customStyle="1" w:styleId="CoverTitleChar">
    <w:name w:val="Cover Title Char"/>
    <w:link w:val="CoverTitle"/>
    <w:rsid w:val="00D340B6"/>
    <w:rPr>
      <w:rFonts w:ascii="Arial" w:eastAsia="PMingLiU" w:hAnsi="Arial" w:cs="Times New Roman"/>
      <w:bCs/>
      <w:color w:val="002D72"/>
      <w:sz w:val="48"/>
      <w:szCs w:val="20"/>
    </w:rPr>
  </w:style>
  <w:style w:type="paragraph" w:customStyle="1" w:styleId="Bullet">
    <w:name w:val="Bullet"/>
    <w:basedOn w:val="Normal"/>
    <w:qFormat/>
    <w:rsid w:val="00E00A20"/>
    <w:pPr>
      <w:numPr>
        <w:numId w:val="42"/>
      </w:numPr>
      <w:spacing w:before="0" w:after="0"/>
      <w:contextualSpacing/>
      <w:jc w:val="left"/>
    </w:pPr>
    <w:rPr>
      <w:rFonts w:ascii="Arial" w:hAnsi="Arial" w:cs="Arial"/>
      <w:bCs/>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4093">
      <w:bodyDiv w:val="1"/>
      <w:marLeft w:val="0"/>
      <w:marRight w:val="0"/>
      <w:marTop w:val="0"/>
      <w:marBottom w:val="0"/>
      <w:divBdr>
        <w:top w:val="none" w:sz="0" w:space="0" w:color="auto"/>
        <w:left w:val="none" w:sz="0" w:space="0" w:color="auto"/>
        <w:bottom w:val="none" w:sz="0" w:space="0" w:color="auto"/>
        <w:right w:val="none" w:sz="0" w:space="0" w:color="auto"/>
      </w:divBdr>
    </w:div>
    <w:div w:id="58941946">
      <w:bodyDiv w:val="1"/>
      <w:marLeft w:val="0"/>
      <w:marRight w:val="0"/>
      <w:marTop w:val="0"/>
      <w:marBottom w:val="0"/>
      <w:divBdr>
        <w:top w:val="none" w:sz="0" w:space="0" w:color="auto"/>
        <w:left w:val="none" w:sz="0" w:space="0" w:color="auto"/>
        <w:bottom w:val="none" w:sz="0" w:space="0" w:color="auto"/>
        <w:right w:val="none" w:sz="0" w:space="0" w:color="auto"/>
      </w:divBdr>
    </w:div>
    <w:div w:id="177743486">
      <w:bodyDiv w:val="1"/>
      <w:marLeft w:val="0"/>
      <w:marRight w:val="0"/>
      <w:marTop w:val="0"/>
      <w:marBottom w:val="0"/>
      <w:divBdr>
        <w:top w:val="none" w:sz="0" w:space="0" w:color="auto"/>
        <w:left w:val="none" w:sz="0" w:space="0" w:color="auto"/>
        <w:bottom w:val="none" w:sz="0" w:space="0" w:color="auto"/>
        <w:right w:val="none" w:sz="0" w:space="0" w:color="auto"/>
      </w:divBdr>
    </w:div>
    <w:div w:id="191580557">
      <w:bodyDiv w:val="1"/>
      <w:marLeft w:val="0"/>
      <w:marRight w:val="0"/>
      <w:marTop w:val="0"/>
      <w:marBottom w:val="0"/>
      <w:divBdr>
        <w:top w:val="none" w:sz="0" w:space="0" w:color="auto"/>
        <w:left w:val="none" w:sz="0" w:space="0" w:color="auto"/>
        <w:bottom w:val="none" w:sz="0" w:space="0" w:color="auto"/>
        <w:right w:val="none" w:sz="0" w:space="0" w:color="auto"/>
      </w:divBdr>
    </w:div>
    <w:div w:id="247858598">
      <w:bodyDiv w:val="1"/>
      <w:marLeft w:val="0"/>
      <w:marRight w:val="0"/>
      <w:marTop w:val="0"/>
      <w:marBottom w:val="0"/>
      <w:divBdr>
        <w:top w:val="none" w:sz="0" w:space="0" w:color="auto"/>
        <w:left w:val="none" w:sz="0" w:space="0" w:color="auto"/>
        <w:bottom w:val="none" w:sz="0" w:space="0" w:color="auto"/>
        <w:right w:val="none" w:sz="0" w:space="0" w:color="auto"/>
      </w:divBdr>
    </w:div>
    <w:div w:id="258485060">
      <w:bodyDiv w:val="1"/>
      <w:marLeft w:val="0"/>
      <w:marRight w:val="0"/>
      <w:marTop w:val="0"/>
      <w:marBottom w:val="0"/>
      <w:divBdr>
        <w:top w:val="none" w:sz="0" w:space="0" w:color="auto"/>
        <w:left w:val="none" w:sz="0" w:space="0" w:color="auto"/>
        <w:bottom w:val="none" w:sz="0" w:space="0" w:color="auto"/>
        <w:right w:val="none" w:sz="0" w:space="0" w:color="auto"/>
      </w:divBdr>
    </w:div>
    <w:div w:id="327943042">
      <w:bodyDiv w:val="1"/>
      <w:marLeft w:val="0"/>
      <w:marRight w:val="0"/>
      <w:marTop w:val="0"/>
      <w:marBottom w:val="0"/>
      <w:divBdr>
        <w:top w:val="none" w:sz="0" w:space="0" w:color="auto"/>
        <w:left w:val="none" w:sz="0" w:space="0" w:color="auto"/>
        <w:bottom w:val="none" w:sz="0" w:space="0" w:color="auto"/>
        <w:right w:val="none" w:sz="0" w:space="0" w:color="auto"/>
      </w:divBdr>
    </w:div>
    <w:div w:id="707031778">
      <w:bodyDiv w:val="1"/>
      <w:marLeft w:val="0"/>
      <w:marRight w:val="0"/>
      <w:marTop w:val="0"/>
      <w:marBottom w:val="0"/>
      <w:divBdr>
        <w:top w:val="none" w:sz="0" w:space="0" w:color="auto"/>
        <w:left w:val="none" w:sz="0" w:space="0" w:color="auto"/>
        <w:bottom w:val="none" w:sz="0" w:space="0" w:color="auto"/>
        <w:right w:val="none" w:sz="0" w:space="0" w:color="auto"/>
      </w:divBdr>
    </w:div>
    <w:div w:id="756558783">
      <w:bodyDiv w:val="1"/>
      <w:marLeft w:val="0"/>
      <w:marRight w:val="0"/>
      <w:marTop w:val="0"/>
      <w:marBottom w:val="0"/>
      <w:divBdr>
        <w:top w:val="none" w:sz="0" w:space="0" w:color="auto"/>
        <w:left w:val="none" w:sz="0" w:space="0" w:color="auto"/>
        <w:bottom w:val="none" w:sz="0" w:space="0" w:color="auto"/>
        <w:right w:val="none" w:sz="0" w:space="0" w:color="auto"/>
      </w:divBdr>
    </w:div>
    <w:div w:id="938756787">
      <w:bodyDiv w:val="1"/>
      <w:marLeft w:val="0"/>
      <w:marRight w:val="0"/>
      <w:marTop w:val="0"/>
      <w:marBottom w:val="0"/>
      <w:divBdr>
        <w:top w:val="none" w:sz="0" w:space="0" w:color="auto"/>
        <w:left w:val="none" w:sz="0" w:space="0" w:color="auto"/>
        <w:bottom w:val="none" w:sz="0" w:space="0" w:color="auto"/>
        <w:right w:val="none" w:sz="0" w:space="0" w:color="auto"/>
      </w:divBdr>
    </w:div>
    <w:div w:id="1105880692">
      <w:bodyDiv w:val="1"/>
      <w:marLeft w:val="0"/>
      <w:marRight w:val="0"/>
      <w:marTop w:val="0"/>
      <w:marBottom w:val="0"/>
      <w:divBdr>
        <w:top w:val="none" w:sz="0" w:space="0" w:color="auto"/>
        <w:left w:val="none" w:sz="0" w:space="0" w:color="auto"/>
        <w:bottom w:val="none" w:sz="0" w:space="0" w:color="auto"/>
        <w:right w:val="none" w:sz="0" w:space="0" w:color="auto"/>
      </w:divBdr>
    </w:div>
    <w:div w:id="1214082619">
      <w:bodyDiv w:val="1"/>
      <w:marLeft w:val="0"/>
      <w:marRight w:val="0"/>
      <w:marTop w:val="0"/>
      <w:marBottom w:val="0"/>
      <w:divBdr>
        <w:top w:val="none" w:sz="0" w:space="0" w:color="auto"/>
        <w:left w:val="none" w:sz="0" w:space="0" w:color="auto"/>
        <w:bottom w:val="none" w:sz="0" w:space="0" w:color="auto"/>
        <w:right w:val="none" w:sz="0" w:space="0" w:color="auto"/>
      </w:divBdr>
    </w:div>
    <w:div w:id="1277328883">
      <w:bodyDiv w:val="1"/>
      <w:marLeft w:val="0"/>
      <w:marRight w:val="0"/>
      <w:marTop w:val="0"/>
      <w:marBottom w:val="0"/>
      <w:divBdr>
        <w:top w:val="none" w:sz="0" w:space="0" w:color="auto"/>
        <w:left w:val="none" w:sz="0" w:space="0" w:color="auto"/>
        <w:bottom w:val="none" w:sz="0" w:space="0" w:color="auto"/>
        <w:right w:val="none" w:sz="0" w:space="0" w:color="auto"/>
      </w:divBdr>
    </w:div>
    <w:div w:id="1283727262">
      <w:bodyDiv w:val="1"/>
      <w:marLeft w:val="0"/>
      <w:marRight w:val="0"/>
      <w:marTop w:val="0"/>
      <w:marBottom w:val="0"/>
      <w:divBdr>
        <w:top w:val="none" w:sz="0" w:space="0" w:color="auto"/>
        <w:left w:val="none" w:sz="0" w:space="0" w:color="auto"/>
        <w:bottom w:val="none" w:sz="0" w:space="0" w:color="auto"/>
        <w:right w:val="none" w:sz="0" w:space="0" w:color="auto"/>
      </w:divBdr>
    </w:div>
    <w:div w:id="1297418267">
      <w:bodyDiv w:val="1"/>
      <w:marLeft w:val="0"/>
      <w:marRight w:val="0"/>
      <w:marTop w:val="0"/>
      <w:marBottom w:val="0"/>
      <w:divBdr>
        <w:top w:val="none" w:sz="0" w:space="0" w:color="auto"/>
        <w:left w:val="none" w:sz="0" w:space="0" w:color="auto"/>
        <w:bottom w:val="none" w:sz="0" w:space="0" w:color="auto"/>
        <w:right w:val="none" w:sz="0" w:space="0" w:color="auto"/>
      </w:divBdr>
      <w:divsChild>
        <w:div w:id="121506299">
          <w:marLeft w:val="446"/>
          <w:marRight w:val="0"/>
          <w:marTop w:val="120"/>
          <w:marBottom w:val="0"/>
          <w:divBdr>
            <w:top w:val="none" w:sz="0" w:space="0" w:color="auto"/>
            <w:left w:val="none" w:sz="0" w:space="0" w:color="auto"/>
            <w:bottom w:val="none" w:sz="0" w:space="0" w:color="auto"/>
            <w:right w:val="none" w:sz="0" w:space="0" w:color="auto"/>
          </w:divBdr>
        </w:div>
        <w:div w:id="396055713">
          <w:marLeft w:val="1166"/>
          <w:marRight w:val="0"/>
          <w:marTop w:val="120"/>
          <w:marBottom w:val="0"/>
          <w:divBdr>
            <w:top w:val="none" w:sz="0" w:space="0" w:color="auto"/>
            <w:left w:val="none" w:sz="0" w:space="0" w:color="auto"/>
            <w:bottom w:val="none" w:sz="0" w:space="0" w:color="auto"/>
            <w:right w:val="none" w:sz="0" w:space="0" w:color="auto"/>
          </w:divBdr>
        </w:div>
        <w:div w:id="413549366">
          <w:marLeft w:val="1166"/>
          <w:marRight w:val="0"/>
          <w:marTop w:val="120"/>
          <w:marBottom w:val="0"/>
          <w:divBdr>
            <w:top w:val="none" w:sz="0" w:space="0" w:color="auto"/>
            <w:left w:val="none" w:sz="0" w:space="0" w:color="auto"/>
            <w:bottom w:val="none" w:sz="0" w:space="0" w:color="auto"/>
            <w:right w:val="none" w:sz="0" w:space="0" w:color="auto"/>
          </w:divBdr>
        </w:div>
        <w:div w:id="1395547912">
          <w:marLeft w:val="1166"/>
          <w:marRight w:val="0"/>
          <w:marTop w:val="120"/>
          <w:marBottom w:val="0"/>
          <w:divBdr>
            <w:top w:val="none" w:sz="0" w:space="0" w:color="auto"/>
            <w:left w:val="none" w:sz="0" w:space="0" w:color="auto"/>
            <w:bottom w:val="none" w:sz="0" w:space="0" w:color="auto"/>
            <w:right w:val="none" w:sz="0" w:space="0" w:color="auto"/>
          </w:divBdr>
        </w:div>
        <w:div w:id="1640770078">
          <w:marLeft w:val="1166"/>
          <w:marRight w:val="0"/>
          <w:marTop w:val="120"/>
          <w:marBottom w:val="0"/>
          <w:divBdr>
            <w:top w:val="none" w:sz="0" w:space="0" w:color="auto"/>
            <w:left w:val="none" w:sz="0" w:space="0" w:color="auto"/>
            <w:bottom w:val="none" w:sz="0" w:space="0" w:color="auto"/>
            <w:right w:val="none" w:sz="0" w:space="0" w:color="auto"/>
          </w:divBdr>
        </w:div>
      </w:divsChild>
    </w:div>
    <w:div w:id="1339766847">
      <w:bodyDiv w:val="1"/>
      <w:marLeft w:val="0"/>
      <w:marRight w:val="0"/>
      <w:marTop w:val="0"/>
      <w:marBottom w:val="0"/>
      <w:divBdr>
        <w:top w:val="none" w:sz="0" w:space="0" w:color="auto"/>
        <w:left w:val="none" w:sz="0" w:space="0" w:color="auto"/>
        <w:bottom w:val="none" w:sz="0" w:space="0" w:color="auto"/>
        <w:right w:val="none" w:sz="0" w:space="0" w:color="auto"/>
      </w:divBdr>
    </w:div>
    <w:div w:id="1381249036">
      <w:bodyDiv w:val="1"/>
      <w:marLeft w:val="0"/>
      <w:marRight w:val="0"/>
      <w:marTop w:val="0"/>
      <w:marBottom w:val="0"/>
      <w:divBdr>
        <w:top w:val="none" w:sz="0" w:space="0" w:color="auto"/>
        <w:left w:val="none" w:sz="0" w:space="0" w:color="auto"/>
        <w:bottom w:val="none" w:sz="0" w:space="0" w:color="auto"/>
        <w:right w:val="none" w:sz="0" w:space="0" w:color="auto"/>
      </w:divBdr>
      <w:divsChild>
        <w:div w:id="595482610">
          <w:marLeft w:val="1166"/>
          <w:marRight w:val="0"/>
          <w:marTop w:val="120"/>
          <w:marBottom w:val="0"/>
          <w:divBdr>
            <w:top w:val="none" w:sz="0" w:space="0" w:color="auto"/>
            <w:left w:val="none" w:sz="0" w:space="0" w:color="auto"/>
            <w:bottom w:val="none" w:sz="0" w:space="0" w:color="auto"/>
            <w:right w:val="none" w:sz="0" w:space="0" w:color="auto"/>
          </w:divBdr>
        </w:div>
        <w:div w:id="1049450748">
          <w:marLeft w:val="1166"/>
          <w:marRight w:val="0"/>
          <w:marTop w:val="120"/>
          <w:marBottom w:val="0"/>
          <w:divBdr>
            <w:top w:val="none" w:sz="0" w:space="0" w:color="auto"/>
            <w:left w:val="none" w:sz="0" w:space="0" w:color="auto"/>
            <w:bottom w:val="none" w:sz="0" w:space="0" w:color="auto"/>
            <w:right w:val="none" w:sz="0" w:space="0" w:color="auto"/>
          </w:divBdr>
        </w:div>
        <w:div w:id="1310669696">
          <w:marLeft w:val="446"/>
          <w:marRight w:val="0"/>
          <w:marTop w:val="120"/>
          <w:marBottom w:val="0"/>
          <w:divBdr>
            <w:top w:val="none" w:sz="0" w:space="0" w:color="auto"/>
            <w:left w:val="none" w:sz="0" w:space="0" w:color="auto"/>
            <w:bottom w:val="none" w:sz="0" w:space="0" w:color="auto"/>
            <w:right w:val="none" w:sz="0" w:space="0" w:color="auto"/>
          </w:divBdr>
        </w:div>
        <w:div w:id="1965117643">
          <w:marLeft w:val="1166"/>
          <w:marRight w:val="0"/>
          <w:marTop w:val="120"/>
          <w:marBottom w:val="0"/>
          <w:divBdr>
            <w:top w:val="none" w:sz="0" w:space="0" w:color="auto"/>
            <w:left w:val="none" w:sz="0" w:space="0" w:color="auto"/>
            <w:bottom w:val="none" w:sz="0" w:space="0" w:color="auto"/>
            <w:right w:val="none" w:sz="0" w:space="0" w:color="auto"/>
          </w:divBdr>
        </w:div>
        <w:div w:id="2011442790">
          <w:marLeft w:val="1166"/>
          <w:marRight w:val="0"/>
          <w:marTop w:val="120"/>
          <w:marBottom w:val="0"/>
          <w:divBdr>
            <w:top w:val="none" w:sz="0" w:space="0" w:color="auto"/>
            <w:left w:val="none" w:sz="0" w:space="0" w:color="auto"/>
            <w:bottom w:val="none" w:sz="0" w:space="0" w:color="auto"/>
            <w:right w:val="none" w:sz="0" w:space="0" w:color="auto"/>
          </w:divBdr>
        </w:div>
      </w:divsChild>
    </w:div>
    <w:div w:id="1509782952">
      <w:bodyDiv w:val="1"/>
      <w:marLeft w:val="0"/>
      <w:marRight w:val="0"/>
      <w:marTop w:val="0"/>
      <w:marBottom w:val="0"/>
      <w:divBdr>
        <w:top w:val="none" w:sz="0" w:space="0" w:color="auto"/>
        <w:left w:val="none" w:sz="0" w:space="0" w:color="auto"/>
        <w:bottom w:val="none" w:sz="0" w:space="0" w:color="auto"/>
        <w:right w:val="none" w:sz="0" w:space="0" w:color="auto"/>
      </w:divBdr>
    </w:div>
    <w:div w:id="1651321062">
      <w:bodyDiv w:val="1"/>
      <w:marLeft w:val="0"/>
      <w:marRight w:val="0"/>
      <w:marTop w:val="0"/>
      <w:marBottom w:val="0"/>
      <w:divBdr>
        <w:top w:val="none" w:sz="0" w:space="0" w:color="auto"/>
        <w:left w:val="none" w:sz="0" w:space="0" w:color="auto"/>
        <w:bottom w:val="none" w:sz="0" w:space="0" w:color="auto"/>
        <w:right w:val="none" w:sz="0" w:space="0" w:color="auto"/>
      </w:divBdr>
    </w:div>
    <w:div w:id="1826431859">
      <w:bodyDiv w:val="1"/>
      <w:marLeft w:val="0"/>
      <w:marRight w:val="0"/>
      <w:marTop w:val="0"/>
      <w:marBottom w:val="0"/>
      <w:divBdr>
        <w:top w:val="none" w:sz="0" w:space="0" w:color="auto"/>
        <w:left w:val="none" w:sz="0" w:space="0" w:color="auto"/>
        <w:bottom w:val="none" w:sz="0" w:space="0" w:color="auto"/>
        <w:right w:val="none" w:sz="0" w:space="0" w:color="auto"/>
      </w:divBdr>
    </w:div>
    <w:div w:id="1838037741">
      <w:bodyDiv w:val="1"/>
      <w:marLeft w:val="0"/>
      <w:marRight w:val="0"/>
      <w:marTop w:val="0"/>
      <w:marBottom w:val="0"/>
      <w:divBdr>
        <w:top w:val="none" w:sz="0" w:space="0" w:color="auto"/>
        <w:left w:val="none" w:sz="0" w:space="0" w:color="auto"/>
        <w:bottom w:val="none" w:sz="0" w:space="0" w:color="auto"/>
        <w:right w:val="none" w:sz="0" w:space="0" w:color="auto"/>
      </w:divBdr>
    </w:div>
    <w:div w:id="1855221898">
      <w:bodyDiv w:val="1"/>
      <w:marLeft w:val="0"/>
      <w:marRight w:val="0"/>
      <w:marTop w:val="0"/>
      <w:marBottom w:val="0"/>
      <w:divBdr>
        <w:top w:val="none" w:sz="0" w:space="0" w:color="auto"/>
        <w:left w:val="none" w:sz="0" w:space="0" w:color="auto"/>
        <w:bottom w:val="none" w:sz="0" w:space="0" w:color="auto"/>
        <w:right w:val="none" w:sz="0" w:space="0" w:color="auto"/>
      </w:divBdr>
    </w:div>
    <w:div w:id="1857235361">
      <w:bodyDiv w:val="1"/>
      <w:marLeft w:val="0"/>
      <w:marRight w:val="0"/>
      <w:marTop w:val="0"/>
      <w:marBottom w:val="0"/>
      <w:divBdr>
        <w:top w:val="none" w:sz="0" w:space="0" w:color="auto"/>
        <w:left w:val="none" w:sz="0" w:space="0" w:color="auto"/>
        <w:bottom w:val="none" w:sz="0" w:space="0" w:color="auto"/>
        <w:right w:val="none" w:sz="0" w:space="0" w:color="auto"/>
      </w:divBdr>
    </w:div>
    <w:div w:id="2027751734">
      <w:bodyDiv w:val="1"/>
      <w:marLeft w:val="0"/>
      <w:marRight w:val="0"/>
      <w:marTop w:val="0"/>
      <w:marBottom w:val="0"/>
      <w:divBdr>
        <w:top w:val="none" w:sz="0" w:space="0" w:color="auto"/>
        <w:left w:val="none" w:sz="0" w:space="0" w:color="auto"/>
        <w:bottom w:val="none" w:sz="0" w:space="0" w:color="auto"/>
        <w:right w:val="none" w:sz="0" w:space="0" w:color="auto"/>
      </w:divBdr>
    </w:div>
    <w:div w:id="204802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yperlink" Target="https://policydirectory.citi.net/cpd/_layouts/15/DocIdRedir.aspx?ID=CPDPROD-13-8555" TargetMode="External"/><Relationship Id="rId3" Type="http://schemas.openxmlformats.org/officeDocument/2006/relationships/customXml" Target="../customXml/item3.xml"/><Relationship Id="rId21" Type="http://schemas.openxmlformats.org/officeDocument/2006/relationships/hyperlink" Target="https://policydirectory.citi.net/cpd/_layouts/15/DocIdRedir.aspx?ID=CPDPROD-13-8555"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yperlink" Target="https://policydirectory.citi.net/cpd/_layouts/15/DocIdRedir.aspx?ID=CPDPROD-13-855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8/08/relationships/commentsExtensible" Target="commentsExtensible.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policydirectory.citi.net/cpd/_layouts/15/DocIdRedir.aspx?ID=CPDPROD-13-8555"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policydirectory.citi.net/cpd/_layouts/15/DocIdRedir.aspx?ID=CPDPROD-13-8555" TargetMode="External"/><Relationship Id="rId28" Type="http://schemas.openxmlformats.org/officeDocument/2006/relationships/footer" Target="footer1.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policydirectory.citi.net/cpd/_layouts/15/DocIdRedir.aspx?ID=CPDPROD-13-855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Data TextToDisplay="%CLASSIFICATIONDATETIME%">15:20 14/09/2021</XMLData>
</file>

<file path=customXml/item3.xml><?xml version="1.0" encoding="utf-8"?>
<XMLData TextToDisplay="RightsWATCHMark">8|CITI-No PII-Internal|{00000000-0000-0000-0000-000000000000}</XMLData>
</file>

<file path=customXml/item4.xml><?xml version="1.0" encoding="utf-8"?>
<XMLData TextToDisplay="%DOCUMENTGUID%">{00000000-0000-0000-0000-000000000000}</XMLData>
</file>

<file path=customXml/item5.xml><?xml version="1.0" encoding="utf-8"?>
<ct:contentTypeSchema xmlns:ct="http://schemas.microsoft.com/office/2006/metadata/contentType" xmlns:ma="http://schemas.microsoft.com/office/2006/metadata/properties/metaAttributes" ct:_="" ma:_="" ma:contentTypeName="Document" ma:contentTypeID="0x0101007CED457489F8F9489FEA1CA174A20B16" ma:contentTypeVersion="0" ma:contentTypeDescription="Create a new document." ma:contentTypeScope="" ma:versionID="cd5c0d2cd783ff58492b32a90ec11e5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D4017-8615-4D28-BE8A-029911DDDF6F}">
  <ds:schemaRefs>
    <ds:schemaRef ds:uri="http://schemas.openxmlformats.org/officeDocument/2006/bibliography"/>
  </ds:schemaRefs>
</ds:datastoreItem>
</file>

<file path=customXml/itemProps2.xml><?xml version="1.0" encoding="utf-8"?>
<ds:datastoreItem xmlns:ds="http://schemas.openxmlformats.org/officeDocument/2006/customXml" ds:itemID="{E57A4A7E-FB90-4E44-8A4A-EDA4C38609DD}">
  <ds:schemaRefs/>
</ds:datastoreItem>
</file>

<file path=customXml/itemProps3.xml><?xml version="1.0" encoding="utf-8"?>
<ds:datastoreItem xmlns:ds="http://schemas.openxmlformats.org/officeDocument/2006/customXml" ds:itemID="{D5852591-2DBC-4411-B159-46A0CBE6E51C}">
  <ds:schemaRefs/>
</ds:datastoreItem>
</file>

<file path=customXml/itemProps4.xml><?xml version="1.0" encoding="utf-8"?>
<ds:datastoreItem xmlns:ds="http://schemas.openxmlformats.org/officeDocument/2006/customXml" ds:itemID="{ACD48E3D-7116-450B-9C14-48ED6BFAD113}">
  <ds:schemaRefs/>
</ds:datastoreItem>
</file>

<file path=customXml/itemProps5.xml><?xml version="1.0" encoding="utf-8"?>
<ds:datastoreItem xmlns:ds="http://schemas.openxmlformats.org/officeDocument/2006/customXml" ds:itemID="{59424A27-B6FB-42E5-8C6A-B4A8313F1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36B6D97D-5CC5-49D8-ACC0-4E06B68AD193}">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34A82DBB-D8E0-4BFD-8405-C1B085501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13947</Words>
  <Characters>79504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Citigroup</Company>
  <LinksUpToDate>false</LinksUpToDate>
  <CharactersWithSpaces>93265</CharactersWithSpaces>
  <SharedDoc>false</SharedDoc>
  <HLinks>
    <vt:vector size="366" baseType="variant">
      <vt:variant>
        <vt:i4>655469</vt:i4>
      </vt:variant>
      <vt:variant>
        <vt:i4>345</vt:i4>
      </vt:variant>
      <vt:variant>
        <vt:i4>0</vt:i4>
      </vt:variant>
      <vt:variant>
        <vt:i4>5</vt:i4>
      </vt:variant>
      <vt:variant>
        <vt:lpwstr>https://policydirectory.citi.net/cpd/_layouts/15/DocIdRedir.aspx?ID=CPDPROD-13-8555</vt:lpwstr>
      </vt:variant>
      <vt:variant>
        <vt:lpwstr/>
      </vt:variant>
      <vt:variant>
        <vt:i4>655469</vt:i4>
      </vt:variant>
      <vt:variant>
        <vt:i4>342</vt:i4>
      </vt:variant>
      <vt:variant>
        <vt:i4>0</vt:i4>
      </vt:variant>
      <vt:variant>
        <vt:i4>5</vt:i4>
      </vt:variant>
      <vt:variant>
        <vt:lpwstr>https://policydirectory.citi.net/cpd/_layouts/15/DocIdRedir.aspx?ID=CPDPROD-13-8555</vt:lpwstr>
      </vt:variant>
      <vt:variant>
        <vt:lpwstr/>
      </vt:variant>
      <vt:variant>
        <vt:i4>655469</vt:i4>
      </vt:variant>
      <vt:variant>
        <vt:i4>339</vt:i4>
      </vt:variant>
      <vt:variant>
        <vt:i4>0</vt:i4>
      </vt:variant>
      <vt:variant>
        <vt:i4>5</vt:i4>
      </vt:variant>
      <vt:variant>
        <vt:lpwstr>https://policydirectory.citi.net/cpd/_layouts/15/DocIdRedir.aspx?ID=CPDPROD-13-8555</vt:lpwstr>
      </vt:variant>
      <vt:variant>
        <vt:lpwstr/>
      </vt:variant>
      <vt:variant>
        <vt:i4>655469</vt:i4>
      </vt:variant>
      <vt:variant>
        <vt:i4>336</vt:i4>
      </vt:variant>
      <vt:variant>
        <vt:i4>0</vt:i4>
      </vt:variant>
      <vt:variant>
        <vt:i4>5</vt:i4>
      </vt:variant>
      <vt:variant>
        <vt:lpwstr>https://policydirectory.citi.net/cpd/_layouts/15/DocIdRedir.aspx?ID=CPDPROD-13-8555</vt:lpwstr>
      </vt:variant>
      <vt:variant>
        <vt:lpwstr/>
      </vt:variant>
      <vt:variant>
        <vt:i4>655469</vt:i4>
      </vt:variant>
      <vt:variant>
        <vt:i4>333</vt:i4>
      </vt:variant>
      <vt:variant>
        <vt:i4>0</vt:i4>
      </vt:variant>
      <vt:variant>
        <vt:i4>5</vt:i4>
      </vt:variant>
      <vt:variant>
        <vt:lpwstr>https://policydirectory.citi.net/cpd/_layouts/15/DocIdRedir.aspx?ID=CPDPROD-13-8555</vt:lpwstr>
      </vt:variant>
      <vt:variant>
        <vt:lpwstr/>
      </vt:variant>
      <vt:variant>
        <vt:i4>655469</vt:i4>
      </vt:variant>
      <vt:variant>
        <vt:i4>330</vt:i4>
      </vt:variant>
      <vt:variant>
        <vt:i4>0</vt:i4>
      </vt:variant>
      <vt:variant>
        <vt:i4>5</vt:i4>
      </vt:variant>
      <vt:variant>
        <vt:lpwstr>https://policydirectory.citi.net/cpd/_layouts/15/DocIdRedir.aspx?ID=CPDPROD-13-8555</vt:lpwstr>
      </vt:variant>
      <vt:variant>
        <vt:lpwstr/>
      </vt:variant>
      <vt:variant>
        <vt:i4>655469</vt:i4>
      </vt:variant>
      <vt:variant>
        <vt:i4>327</vt:i4>
      </vt:variant>
      <vt:variant>
        <vt:i4>0</vt:i4>
      </vt:variant>
      <vt:variant>
        <vt:i4>5</vt:i4>
      </vt:variant>
      <vt:variant>
        <vt:lpwstr>https://policydirectory.citi.net/cpd/_layouts/15/DocIdRedir.aspx?ID=CPDPROD-13-8555</vt:lpwstr>
      </vt:variant>
      <vt:variant>
        <vt:lpwstr/>
      </vt:variant>
      <vt:variant>
        <vt:i4>1638463</vt:i4>
      </vt:variant>
      <vt:variant>
        <vt:i4>320</vt:i4>
      </vt:variant>
      <vt:variant>
        <vt:i4>0</vt:i4>
      </vt:variant>
      <vt:variant>
        <vt:i4>5</vt:i4>
      </vt:variant>
      <vt:variant>
        <vt:lpwstr/>
      </vt:variant>
      <vt:variant>
        <vt:lpwstr>_Toc130991752</vt:lpwstr>
      </vt:variant>
      <vt:variant>
        <vt:i4>1638463</vt:i4>
      </vt:variant>
      <vt:variant>
        <vt:i4>314</vt:i4>
      </vt:variant>
      <vt:variant>
        <vt:i4>0</vt:i4>
      </vt:variant>
      <vt:variant>
        <vt:i4>5</vt:i4>
      </vt:variant>
      <vt:variant>
        <vt:lpwstr/>
      </vt:variant>
      <vt:variant>
        <vt:lpwstr>_Toc130991751</vt:lpwstr>
      </vt:variant>
      <vt:variant>
        <vt:i4>1638463</vt:i4>
      </vt:variant>
      <vt:variant>
        <vt:i4>308</vt:i4>
      </vt:variant>
      <vt:variant>
        <vt:i4>0</vt:i4>
      </vt:variant>
      <vt:variant>
        <vt:i4>5</vt:i4>
      </vt:variant>
      <vt:variant>
        <vt:lpwstr/>
      </vt:variant>
      <vt:variant>
        <vt:lpwstr>_Toc130991750</vt:lpwstr>
      </vt:variant>
      <vt:variant>
        <vt:i4>1572927</vt:i4>
      </vt:variant>
      <vt:variant>
        <vt:i4>302</vt:i4>
      </vt:variant>
      <vt:variant>
        <vt:i4>0</vt:i4>
      </vt:variant>
      <vt:variant>
        <vt:i4>5</vt:i4>
      </vt:variant>
      <vt:variant>
        <vt:lpwstr/>
      </vt:variant>
      <vt:variant>
        <vt:lpwstr>_Toc130991749</vt:lpwstr>
      </vt:variant>
      <vt:variant>
        <vt:i4>1572927</vt:i4>
      </vt:variant>
      <vt:variant>
        <vt:i4>296</vt:i4>
      </vt:variant>
      <vt:variant>
        <vt:i4>0</vt:i4>
      </vt:variant>
      <vt:variant>
        <vt:i4>5</vt:i4>
      </vt:variant>
      <vt:variant>
        <vt:lpwstr/>
      </vt:variant>
      <vt:variant>
        <vt:lpwstr>_Toc130991748</vt:lpwstr>
      </vt:variant>
      <vt:variant>
        <vt:i4>1572927</vt:i4>
      </vt:variant>
      <vt:variant>
        <vt:i4>290</vt:i4>
      </vt:variant>
      <vt:variant>
        <vt:i4>0</vt:i4>
      </vt:variant>
      <vt:variant>
        <vt:i4>5</vt:i4>
      </vt:variant>
      <vt:variant>
        <vt:lpwstr/>
      </vt:variant>
      <vt:variant>
        <vt:lpwstr>_Toc130991747</vt:lpwstr>
      </vt:variant>
      <vt:variant>
        <vt:i4>1572927</vt:i4>
      </vt:variant>
      <vt:variant>
        <vt:i4>284</vt:i4>
      </vt:variant>
      <vt:variant>
        <vt:i4>0</vt:i4>
      </vt:variant>
      <vt:variant>
        <vt:i4>5</vt:i4>
      </vt:variant>
      <vt:variant>
        <vt:lpwstr/>
      </vt:variant>
      <vt:variant>
        <vt:lpwstr>_Toc130991746</vt:lpwstr>
      </vt:variant>
      <vt:variant>
        <vt:i4>1572927</vt:i4>
      </vt:variant>
      <vt:variant>
        <vt:i4>278</vt:i4>
      </vt:variant>
      <vt:variant>
        <vt:i4>0</vt:i4>
      </vt:variant>
      <vt:variant>
        <vt:i4>5</vt:i4>
      </vt:variant>
      <vt:variant>
        <vt:lpwstr/>
      </vt:variant>
      <vt:variant>
        <vt:lpwstr>_Toc130991745</vt:lpwstr>
      </vt:variant>
      <vt:variant>
        <vt:i4>1572927</vt:i4>
      </vt:variant>
      <vt:variant>
        <vt:i4>272</vt:i4>
      </vt:variant>
      <vt:variant>
        <vt:i4>0</vt:i4>
      </vt:variant>
      <vt:variant>
        <vt:i4>5</vt:i4>
      </vt:variant>
      <vt:variant>
        <vt:lpwstr/>
      </vt:variant>
      <vt:variant>
        <vt:lpwstr>_Toc130991744</vt:lpwstr>
      </vt:variant>
      <vt:variant>
        <vt:i4>1572927</vt:i4>
      </vt:variant>
      <vt:variant>
        <vt:i4>266</vt:i4>
      </vt:variant>
      <vt:variant>
        <vt:i4>0</vt:i4>
      </vt:variant>
      <vt:variant>
        <vt:i4>5</vt:i4>
      </vt:variant>
      <vt:variant>
        <vt:lpwstr/>
      </vt:variant>
      <vt:variant>
        <vt:lpwstr>_Toc130991743</vt:lpwstr>
      </vt:variant>
      <vt:variant>
        <vt:i4>1572927</vt:i4>
      </vt:variant>
      <vt:variant>
        <vt:i4>260</vt:i4>
      </vt:variant>
      <vt:variant>
        <vt:i4>0</vt:i4>
      </vt:variant>
      <vt:variant>
        <vt:i4>5</vt:i4>
      </vt:variant>
      <vt:variant>
        <vt:lpwstr/>
      </vt:variant>
      <vt:variant>
        <vt:lpwstr>_Toc130991742</vt:lpwstr>
      </vt:variant>
      <vt:variant>
        <vt:i4>1572927</vt:i4>
      </vt:variant>
      <vt:variant>
        <vt:i4>254</vt:i4>
      </vt:variant>
      <vt:variant>
        <vt:i4>0</vt:i4>
      </vt:variant>
      <vt:variant>
        <vt:i4>5</vt:i4>
      </vt:variant>
      <vt:variant>
        <vt:lpwstr/>
      </vt:variant>
      <vt:variant>
        <vt:lpwstr>_Toc130991741</vt:lpwstr>
      </vt:variant>
      <vt:variant>
        <vt:i4>1572927</vt:i4>
      </vt:variant>
      <vt:variant>
        <vt:i4>248</vt:i4>
      </vt:variant>
      <vt:variant>
        <vt:i4>0</vt:i4>
      </vt:variant>
      <vt:variant>
        <vt:i4>5</vt:i4>
      </vt:variant>
      <vt:variant>
        <vt:lpwstr/>
      </vt:variant>
      <vt:variant>
        <vt:lpwstr>_Toc130991740</vt:lpwstr>
      </vt:variant>
      <vt:variant>
        <vt:i4>2031679</vt:i4>
      </vt:variant>
      <vt:variant>
        <vt:i4>242</vt:i4>
      </vt:variant>
      <vt:variant>
        <vt:i4>0</vt:i4>
      </vt:variant>
      <vt:variant>
        <vt:i4>5</vt:i4>
      </vt:variant>
      <vt:variant>
        <vt:lpwstr/>
      </vt:variant>
      <vt:variant>
        <vt:lpwstr>_Toc130991739</vt:lpwstr>
      </vt:variant>
      <vt:variant>
        <vt:i4>2031679</vt:i4>
      </vt:variant>
      <vt:variant>
        <vt:i4>236</vt:i4>
      </vt:variant>
      <vt:variant>
        <vt:i4>0</vt:i4>
      </vt:variant>
      <vt:variant>
        <vt:i4>5</vt:i4>
      </vt:variant>
      <vt:variant>
        <vt:lpwstr/>
      </vt:variant>
      <vt:variant>
        <vt:lpwstr>_Toc130991738</vt:lpwstr>
      </vt:variant>
      <vt:variant>
        <vt:i4>2031679</vt:i4>
      </vt:variant>
      <vt:variant>
        <vt:i4>230</vt:i4>
      </vt:variant>
      <vt:variant>
        <vt:i4>0</vt:i4>
      </vt:variant>
      <vt:variant>
        <vt:i4>5</vt:i4>
      </vt:variant>
      <vt:variant>
        <vt:lpwstr/>
      </vt:variant>
      <vt:variant>
        <vt:lpwstr>_Toc130991737</vt:lpwstr>
      </vt:variant>
      <vt:variant>
        <vt:i4>2031679</vt:i4>
      </vt:variant>
      <vt:variant>
        <vt:i4>224</vt:i4>
      </vt:variant>
      <vt:variant>
        <vt:i4>0</vt:i4>
      </vt:variant>
      <vt:variant>
        <vt:i4>5</vt:i4>
      </vt:variant>
      <vt:variant>
        <vt:lpwstr/>
      </vt:variant>
      <vt:variant>
        <vt:lpwstr>_Toc130991736</vt:lpwstr>
      </vt:variant>
      <vt:variant>
        <vt:i4>2031679</vt:i4>
      </vt:variant>
      <vt:variant>
        <vt:i4>218</vt:i4>
      </vt:variant>
      <vt:variant>
        <vt:i4>0</vt:i4>
      </vt:variant>
      <vt:variant>
        <vt:i4>5</vt:i4>
      </vt:variant>
      <vt:variant>
        <vt:lpwstr/>
      </vt:variant>
      <vt:variant>
        <vt:lpwstr>_Toc130991735</vt:lpwstr>
      </vt:variant>
      <vt:variant>
        <vt:i4>2031679</vt:i4>
      </vt:variant>
      <vt:variant>
        <vt:i4>212</vt:i4>
      </vt:variant>
      <vt:variant>
        <vt:i4>0</vt:i4>
      </vt:variant>
      <vt:variant>
        <vt:i4>5</vt:i4>
      </vt:variant>
      <vt:variant>
        <vt:lpwstr/>
      </vt:variant>
      <vt:variant>
        <vt:lpwstr>_Toc130991734</vt:lpwstr>
      </vt:variant>
      <vt:variant>
        <vt:i4>2031679</vt:i4>
      </vt:variant>
      <vt:variant>
        <vt:i4>206</vt:i4>
      </vt:variant>
      <vt:variant>
        <vt:i4>0</vt:i4>
      </vt:variant>
      <vt:variant>
        <vt:i4>5</vt:i4>
      </vt:variant>
      <vt:variant>
        <vt:lpwstr/>
      </vt:variant>
      <vt:variant>
        <vt:lpwstr>_Toc130991733</vt:lpwstr>
      </vt:variant>
      <vt:variant>
        <vt:i4>2031679</vt:i4>
      </vt:variant>
      <vt:variant>
        <vt:i4>200</vt:i4>
      </vt:variant>
      <vt:variant>
        <vt:i4>0</vt:i4>
      </vt:variant>
      <vt:variant>
        <vt:i4>5</vt:i4>
      </vt:variant>
      <vt:variant>
        <vt:lpwstr/>
      </vt:variant>
      <vt:variant>
        <vt:lpwstr>_Toc130991732</vt:lpwstr>
      </vt:variant>
      <vt:variant>
        <vt:i4>2031679</vt:i4>
      </vt:variant>
      <vt:variant>
        <vt:i4>194</vt:i4>
      </vt:variant>
      <vt:variant>
        <vt:i4>0</vt:i4>
      </vt:variant>
      <vt:variant>
        <vt:i4>5</vt:i4>
      </vt:variant>
      <vt:variant>
        <vt:lpwstr/>
      </vt:variant>
      <vt:variant>
        <vt:lpwstr>_Toc130991731</vt:lpwstr>
      </vt:variant>
      <vt:variant>
        <vt:i4>2031679</vt:i4>
      </vt:variant>
      <vt:variant>
        <vt:i4>188</vt:i4>
      </vt:variant>
      <vt:variant>
        <vt:i4>0</vt:i4>
      </vt:variant>
      <vt:variant>
        <vt:i4>5</vt:i4>
      </vt:variant>
      <vt:variant>
        <vt:lpwstr/>
      </vt:variant>
      <vt:variant>
        <vt:lpwstr>_Toc130991730</vt:lpwstr>
      </vt:variant>
      <vt:variant>
        <vt:i4>1966143</vt:i4>
      </vt:variant>
      <vt:variant>
        <vt:i4>182</vt:i4>
      </vt:variant>
      <vt:variant>
        <vt:i4>0</vt:i4>
      </vt:variant>
      <vt:variant>
        <vt:i4>5</vt:i4>
      </vt:variant>
      <vt:variant>
        <vt:lpwstr/>
      </vt:variant>
      <vt:variant>
        <vt:lpwstr>_Toc130991729</vt:lpwstr>
      </vt:variant>
      <vt:variant>
        <vt:i4>1966143</vt:i4>
      </vt:variant>
      <vt:variant>
        <vt:i4>176</vt:i4>
      </vt:variant>
      <vt:variant>
        <vt:i4>0</vt:i4>
      </vt:variant>
      <vt:variant>
        <vt:i4>5</vt:i4>
      </vt:variant>
      <vt:variant>
        <vt:lpwstr/>
      </vt:variant>
      <vt:variant>
        <vt:lpwstr>_Toc130991728</vt:lpwstr>
      </vt:variant>
      <vt:variant>
        <vt:i4>1966143</vt:i4>
      </vt:variant>
      <vt:variant>
        <vt:i4>170</vt:i4>
      </vt:variant>
      <vt:variant>
        <vt:i4>0</vt:i4>
      </vt:variant>
      <vt:variant>
        <vt:i4>5</vt:i4>
      </vt:variant>
      <vt:variant>
        <vt:lpwstr/>
      </vt:variant>
      <vt:variant>
        <vt:lpwstr>_Toc130991726</vt:lpwstr>
      </vt:variant>
      <vt:variant>
        <vt:i4>1966143</vt:i4>
      </vt:variant>
      <vt:variant>
        <vt:i4>164</vt:i4>
      </vt:variant>
      <vt:variant>
        <vt:i4>0</vt:i4>
      </vt:variant>
      <vt:variant>
        <vt:i4>5</vt:i4>
      </vt:variant>
      <vt:variant>
        <vt:lpwstr/>
      </vt:variant>
      <vt:variant>
        <vt:lpwstr>_Toc130991725</vt:lpwstr>
      </vt:variant>
      <vt:variant>
        <vt:i4>1966143</vt:i4>
      </vt:variant>
      <vt:variant>
        <vt:i4>158</vt:i4>
      </vt:variant>
      <vt:variant>
        <vt:i4>0</vt:i4>
      </vt:variant>
      <vt:variant>
        <vt:i4>5</vt:i4>
      </vt:variant>
      <vt:variant>
        <vt:lpwstr/>
      </vt:variant>
      <vt:variant>
        <vt:lpwstr>_Toc130991724</vt:lpwstr>
      </vt:variant>
      <vt:variant>
        <vt:i4>1966143</vt:i4>
      </vt:variant>
      <vt:variant>
        <vt:i4>152</vt:i4>
      </vt:variant>
      <vt:variant>
        <vt:i4>0</vt:i4>
      </vt:variant>
      <vt:variant>
        <vt:i4>5</vt:i4>
      </vt:variant>
      <vt:variant>
        <vt:lpwstr/>
      </vt:variant>
      <vt:variant>
        <vt:lpwstr>_Toc130991723</vt:lpwstr>
      </vt:variant>
      <vt:variant>
        <vt:i4>1966143</vt:i4>
      </vt:variant>
      <vt:variant>
        <vt:i4>146</vt:i4>
      </vt:variant>
      <vt:variant>
        <vt:i4>0</vt:i4>
      </vt:variant>
      <vt:variant>
        <vt:i4>5</vt:i4>
      </vt:variant>
      <vt:variant>
        <vt:lpwstr/>
      </vt:variant>
      <vt:variant>
        <vt:lpwstr>_Toc130991722</vt:lpwstr>
      </vt:variant>
      <vt:variant>
        <vt:i4>1966143</vt:i4>
      </vt:variant>
      <vt:variant>
        <vt:i4>140</vt:i4>
      </vt:variant>
      <vt:variant>
        <vt:i4>0</vt:i4>
      </vt:variant>
      <vt:variant>
        <vt:i4>5</vt:i4>
      </vt:variant>
      <vt:variant>
        <vt:lpwstr/>
      </vt:variant>
      <vt:variant>
        <vt:lpwstr>_Toc130991721</vt:lpwstr>
      </vt:variant>
      <vt:variant>
        <vt:i4>1966143</vt:i4>
      </vt:variant>
      <vt:variant>
        <vt:i4>134</vt:i4>
      </vt:variant>
      <vt:variant>
        <vt:i4>0</vt:i4>
      </vt:variant>
      <vt:variant>
        <vt:i4>5</vt:i4>
      </vt:variant>
      <vt:variant>
        <vt:lpwstr/>
      </vt:variant>
      <vt:variant>
        <vt:lpwstr>_Toc130991720</vt:lpwstr>
      </vt:variant>
      <vt:variant>
        <vt:i4>1900607</vt:i4>
      </vt:variant>
      <vt:variant>
        <vt:i4>128</vt:i4>
      </vt:variant>
      <vt:variant>
        <vt:i4>0</vt:i4>
      </vt:variant>
      <vt:variant>
        <vt:i4>5</vt:i4>
      </vt:variant>
      <vt:variant>
        <vt:lpwstr/>
      </vt:variant>
      <vt:variant>
        <vt:lpwstr>_Toc130991719</vt:lpwstr>
      </vt:variant>
      <vt:variant>
        <vt:i4>1900607</vt:i4>
      </vt:variant>
      <vt:variant>
        <vt:i4>122</vt:i4>
      </vt:variant>
      <vt:variant>
        <vt:i4>0</vt:i4>
      </vt:variant>
      <vt:variant>
        <vt:i4>5</vt:i4>
      </vt:variant>
      <vt:variant>
        <vt:lpwstr/>
      </vt:variant>
      <vt:variant>
        <vt:lpwstr>_Toc130991718</vt:lpwstr>
      </vt:variant>
      <vt:variant>
        <vt:i4>1900607</vt:i4>
      </vt:variant>
      <vt:variant>
        <vt:i4>116</vt:i4>
      </vt:variant>
      <vt:variant>
        <vt:i4>0</vt:i4>
      </vt:variant>
      <vt:variant>
        <vt:i4>5</vt:i4>
      </vt:variant>
      <vt:variant>
        <vt:lpwstr/>
      </vt:variant>
      <vt:variant>
        <vt:lpwstr>_Toc130991717</vt:lpwstr>
      </vt:variant>
      <vt:variant>
        <vt:i4>1900607</vt:i4>
      </vt:variant>
      <vt:variant>
        <vt:i4>110</vt:i4>
      </vt:variant>
      <vt:variant>
        <vt:i4>0</vt:i4>
      </vt:variant>
      <vt:variant>
        <vt:i4>5</vt:i4>
      </vt:variant>
      <vt:variant>
        <vt:lpwstr/>
      </vt:variant>
      <vt:variant>
        <vt:lpwstr>_Toc130991716</vt:lpwstr>
      </vt:variant>
      <vt:variant>
        <vt:i4>1900607</vt:i4>
      </vt:variant>
      <vt:variant>
        <vt:i4>104</vt:i4>
      </vt:variant>
      <vt:variant>
        <vt:i4>0</vt:i4>
      </vt:variant>
      <vt:variant>
        <vt:i4>5</vt:i4>
      </vt:variant>
      <vt:variant>
        <vt:lpwstr/>
      </vt:variant>
      <vt:variant>
        <vt:lpwstr>_Toc130991715</vt:lpwstr>
      </vt:variant>
      <vt:variant>
        <vt:i4>1900607</vt:i4>
      </vt:variant>
      <vt:variant>
        <vt:i4>98</vt:i4>
      </vt:variant>
      <vt:variant>
        <vt:i4>0</vt:i4>
      </vt:variant>
      <vt:variant>
        <vt:i4>5</vt:i4>
      </vt:variant>
      <vt:variant>
        <vt:lpwstr/>
      </vt:variant>
      <vt:variant>
        <vt:lpwstr>_Toc130991714</vt:lpwstr>
      </vt:variant>
      <vt:variant>
        <vt:i4>1900607</vt:i4>
      </vt:variant>
      <vt:variant>
        <vt:i4>92</vt:i4>
      </vt:variant>
      <vt:variant>
        <vt:i4>0</vt:i4>
      </vt:variant>
      <vt:variant>
        <vt:i4>5</vt:i4>
      </vt:variant>
      <vt:variant>
        <vt:lpwstr/>
      </vt:variant>
      <vt:variant>
        <vt:lpwstr>_Toc130991713</vt:lpwstr>
      </vt:variant>
      <vt:variant>
        <vt:i4>1900607</vt:i4>
      </vt:variant>
      <vt:variant>
        <vt:i4>86</vt:i4>
      </vt:variant>
      <vt:variant>
        <vt:i4>0</vt:i4>
      </vt:variant>
      <vt:variant>
        <vt:i4>5</vt:i4>
      </vt:variant>
      <vt:variant>
        <vt:lpwstr/>
      </vt:variant>
      <vt:variant>
        <vt:lpwstr>_Toc130991712</vt:lpwstr>
      </vt:variant>
      <vt:variant>
        <vt:i4>1900607</vt:i4>
      </vt:variant>
      <vt:variant>
        <vt:i4>80</vt:i4>
      </vt:variant>
      <vt:variant>
        <vt:i4>0</vt:i4>
      </vt:variant>
      <vt:variant>
        <vt:i4>5</vt:i4>
      </vt:variant>
      <vt:variant>
        <vt:lpwstr/>
      </vt:variant>
      <vt:variant>
        <vt:lpwstr>_Toc130991711</vt:lpwstr>
      </vt:variant>
      <vt:variant>
        <vt:i4>1900607</vt:i4>
      </vt:variant>
      <vt:variant>
        <vt:i4>74</vt:i4>
      </vt:variant>
      <vt:variant>
        <vt:i4>0</vt:i4>
      </vt:variant>
      <vt:variant>
        <vt:i4>5</vt:i4>
      </vt:variant>
      <vt:variant>
        <vt:lpwstr/>
      </vt:variant>
      <vt:variant>
        <vt:lpwstr>_Toc130991710</vt:lpwstr>
      </vt:variant>
      <vt:variant>
        <vt:i4>1835071</vt:i4>
      </vt:variant>
      <vt:variant>
        <vt:i4>68</vt:i4>
      </vt:variant>
      <vt:variant>
        <vt:i4>0</vt:i4>
      </vt:variant>
      <vt:variant>
        <vt:i4>5</vt:i4>
      </vt:variant>
      <vt:variant>
        <vt:lpwstr/>
      </vt:variant>
      <vt:variant>
        <vt:lpwstr>_Toc130991709</vt:lpwstr>
      </vt:variant>
      <vt:variant>
        <vt:i4>1835071</vt:i4>
      </vt:variant>
      <vt:variant>
        <vt:i4>62</vt:i4>
      </vt:variant>
      <vt:variant>
        <vt:i4>0</vt:i4>
      </vt:variant>
      <vt:variant>
        <vt:i4>5</vt:i4>
      </vt:variant>
      <vt:variant>
        <vt:lpwstr/>
      </vt:variant>
      <vt:variant>
        <vt:lpwstr>_Toc130991708</vt:lpwstr>
      </vt:variant>
      <vt:variant>
        <vt:i4>1835071</vt:i4>
      </vt:variant>
      <vt:variant>
        <vt:i4>56</vt:i4>
      </vt:variant>
      <vt:variant>
        <vt:i4>0</vt:i4>
      </vt:variant>
      <vt:variant>
        <vt:i4>5</vt:i4>
      </vt:variant>
      <vt:variant>
        <vt:lpwstr/>
      </vt:variant>
      <vt:variant>
        <vt:lpwstr>_Toc130991707</vt:lpwstr>
      </vt:variant>
      <vt:variant>
        <vt:i4>1835071</vt:i4>
      </vt:variant>
      <vt:variant>
        <vt:i4>50</vt:i4>
      </vt:variant>
      <vt:variant>
        <vt:i4>0</vt:i4>
      </vt:variant>
      <vt:variant>
        <vt:i4>5</vt:i4>
      </vt:variant>
      <vt:variant>
        <vt:lpwstr/>
      </vt:variant>
      <vt:variant>
        <vt:lpwstr>_Toc130991706</vt:lpwstr>
      </vt:variant>
      <vt:variant>
        <vt:i4>1835071</vt:i4>
      </vt:variant>
      <vt:variant>
        <vt:i4>44</vt:i4>
      </vt:variant>
      <vt:variant>
        <vt:i4>0</vt:i4>
      </vt:variant>
      <vt:variant>
        <vt:i4>5</vt:i4>
      </vt:variant>
      <vt:variant>
        <vt:lpwstr/>
      </vt:variant>
      <vt:variant>
        <vt:lpwstr>_Toc130991705</vt:lpwstr>
      </vt:variant>
      <vt:variant>
        <vt:i4>1835071</vt:i4>
      </vt:variant>
      <vt:variant>
        <vt:i4>38</vt:i4>
      </vt:variant>
      <vt:variant>
        <vt:i4>0</vt:i4>
      </vt:variant>
      <vt:variant>
        <vt:i4>5</vt:i4>
      </vt:variant>
      <vt:variant>
        <vt:lpwstr/>
      </vt:variant>
      <vt:variant>
        <vt:lpwstr>_Toc130991704</vt:lpwstr>
      </vt:variant>
      <vt:variant>
        <vt:i4>1835071</vt:i4>
      </vt:variant>
      <vt:variant>
        <vt:i4>32</vt:i4>
      </vt:variant>
      <vt:variant>
        <vt:i4>0</vt:i4>
      </vt:variant>
      <vt:variant>
        <vt:i4>5</vt:i4>
      </vt:variant>
      <vt:variant>
        <vt:lpwstr/>
      </vt:variant>
      <vt:variant>
        <vt:lpwstr>_Toc130991703</vt:lpwstr>
      </vt:variant>
      <vt:variant>
        <vt:i4>1835071</vt:i4>
      </vt:variant>
      <vt:variant>
        <vt:i4>26</vt:i4>
      </vt:variant>
      <vt:variant>
        <vt:i4>0</vt:i4>
      </vt:variant>
      <vt:variant>
        <vt:i4>5</vt:i4>
      </vt:variant>
      <vt:variant>
        <vt:lpwstr/>
      </vt:variant>
      <vt:variant>
        <vt:lpwstr>_Toc130991702</vt:lpwstr>
      </vt:variant>
      <vt:variant>
        <vt:i4>1835071</vt:i4>
      </vt:variant>
      <vt:variant>
        <vt:i4>20</vt:i4>
      </vt:variant>
      <vt:variant>
        <vt:i4>0</vt:i4>
      </vt:variant>
      <vt:variant>
        <vt:i4>5</vt:i4>
      </vt:variant>
      <vt:variant>
        <vt:lpwstr/>
      </vt:variant>
      <vt:variant>
        <vt:lpwstr>_Toc130991701</vt:lpwstr>
      </vt:variant>
      <vt:variant>
        <vt:i4>1835071</vt:i4>
      </vt:variant>
      <vt:variant>
        <vt:i4>14</vt:i4>
      </vt:variant>
      <vt:variant>
        <vt:i4>0</vt:i4>
      </vt:variant>
      <vt:variant>
        <vt:i4>5</vt:i4>
      </vt:variant>
      <vt:variant>
        <vt:lpwstr/>
      </vt:variant>
      <vt:variant>
        <vt:lpwstr>_Toc130991700</vt:lpwstr>
      </vt:variant>
      <vt:variant>
        <vt:i4>1376318</vt:i4>
      </vt:variant>
      <vt:variant>
        <vt:i4>8</vt:i4>
      </vt:variant>
      <vt:variant>
        <vt:i4>0</vt:i4>
      </vt:variant>
      <vt:variant>
        <vt:i4>5</vt:i4>
      </vt:variant>
      <vt:variant>
        <vt:lpwstr/>
      </vt:variant>
      <vt:variant>
        <vt:lpwstr>_Toc130991699</vt:lpwstr>
      </vt:variant>
      <vt:variant>
        <vt:i4>1376318</vt:i4>
      </vt:variant>
      <vt:variant>
        <vt:i4>2</vt:i4>
      </vt:variant>
      <vt:variant>
        <vt:i4>0</vt:i4>
      </vt:variant>
      <vt:variant>
        <vt:i4>5</vt:i4>
      </vt:variant>
      <vt:variant>
        <vt:lpwstr/>
      </vt:variant>
      <vt:variant>
        <vt:lpwstr>_Toc130991698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Joshan [ICG-CORP NE]</dc:creator>
  <cp:keywords/>
  <dc:description/>
  <cp:lastModifiedBy>Nongom, Marion [RISK]</cp:lastModifiedBy>
  <cp:revision>30</cp:revision>
  <cp:lastPrinted>2022-05-22T01:52:00Z</cp:lastPrinted>
  <dcterms:created xsi:type="dcterms:W3CDTF">2024-01-25T11:33:00Z</dcterms:created>
  <dcterms:modified xsi:type="dcterms:W3CDTF">2025-01-14T15:16:00Z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0x0101007CED457489F8F9489FEA1CA174A20B16</vt:lpwstr>
  </property>
  <property fmtid="{D5CDD505-2E9C-101B-9397-08002B2CF9AE}" pid="3" name="RightsWATCHMark">
    <vt:lpwstr>8|CITI-No PII-Internal|{00000000-0000-0000-0000-000000000000}</vt:lpwstr>
  </property>
  <property fmtid="{D5CDD505-2E9C-101B-9397-08002B2CF9AE}" pid="4" name="MSIP_Label_ef691c43-652c-4966-abd9-c2d7e9f82ab4_Enabled">
    <vt:lpwstr>true</vt:lpwstr>
  </property>
  <property fmtid="{D5CDD505-2E9C-101B-9397-08002B2CF9AE}" pid="5" name="MSIP_Label_ef691c43-652c-4966-abd9-c2d7e9f82ab4_SetDate">
    <vt:lpwstr>2022-02-15T05:44:20Z</vt:lpwstr>
  </property>
  <property fmtid="{D5CDD505-2E9C-101B-9397-08002B2CF9AE}" pid="6" name="MSIP_Label_ef691c43-652c-4966-abd9-c2d7e9f82ab4_Method">
    <vt:lpwstr>Privileged</vt:lpwstr>
  </property>
  <property fmtid="{D5CDD505-2E9C-101B-9397-08002B2CF9AE}" pid="7" name="MSIP_Label_ef691c43-652c-4966-abd9-c2d7e9f82ab4_Name">
    <vt:lpwstr>Confidential PII</vt:lpwstr>
  </property>
  <property fmtid="{D5CDD505-2E9C-101B-9397-08002B2CF9AE}" pid="8" name="MSIP_Label_ef691c43-652c-4966-abd9-c2d7e9f82ab4_SiteId">
    <vt:lpwstr>1771ae17-e764-4e0f-a476-d4184d79a5d9</vt:lpwstr>
  </property>
  <property fmtid="{D5CDD505-2E9C-101B-9397-08002B2CF9AE}" pid="9" name="MSIP_Label_ef691c43-652c-4966-abd9-c2d7e9f82ab4_ActionId">
    <vt:lpwstr>bd394e77-ecf7-4141-b912-66048bf8ed42</vt:lpwstr>
  </property>
  <property fmtid="{D5CDD505-2E9C-101B-9397-08002B2CF9AE}" pid="10" name="MSIP_Label_ef691c43-652c-4966-abd9-c2d7e9f82ab4_ContentBits">
    <vt:lpwstr>0</vt:lpwstr>
  </property>
</Properties>
</file>