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C9" w:rsidRPr="005B5FC9" w:rsidRDefault="005B5FC9" w:rsidP="005B5FC9">
      <w:pPr>
        <w:spacing w:after="0" w:line="240" w:lineRule="auto"/>
        <w:jc w:val="center"/>
        <w:rPr>
          <w:rFonts w:ascii="Times New Roman" w:eastAsia="MS Mincho" w:hAnsi="Times New Roman" w:cs="Times New Roman"/>
          <w:sz w:val="24"/>
          <w:szCs w:val="24"/>
        </w:rPr>
      </w:pPr>
      <w:r w:rsidRPr="005B5FC9">
        <w:rPr>
          <w:rFonts w:ascii="Times New Roman" w:eastAsia="MS Mincho" w:hAnsi="Times New Roman" w:cs="Times New Roman"/>
          <w:b/>
          <w:sz w:val="24"/>
          <w:szCs w:val="24"/>
        </w:rPr>
        <w:t>FORM OF TRANSFEREE CERTIFICATE</w:t>
      </w:r>
      <w:r w:rsidRPr="005B5FC9">
        <w:rPr>
          <w:rFonts w:ascii="Times New Roman" w:eastAsia="MS Mincho" w:hAnsi="Times New Roman" w:cs="Times New Roman"/>
          <w:b/>
          <w:sz w:val="24"/>
          <w:szCs w:val="24"/>
        </w:rPr>
        <w:br/>
      </w:r>
    </w:p>
    <w:p w:rsidR="005B5FC9" w:rsidRPr="005B5FC9" w:rsidRDefault="005B5FC9" w:rsidP="005B5FC9">
      <w:pPr>
        <w:autoSpaceDE w:val="0"/>
        <w:autoSpaceDN w:val="0"/>
        <w:adjustRightInd w:val="0"/>
        <w:spacing w:after="0" w:line="240" w:lineRule="auto"/>
        <w:ind w:right="4320"/>
        <w:jc w:val="both"/>
        <w:rPr>
          <w:rFonts w:ascii="Times New Roman" w:eastAsia="MS Mincho" w:hAnsi="Times New Roman" w:cs="Times New Roman"/>
          <w:sz w:val="24"/>
          <w:szCs w:val="24"/>
        </w:rPr>
      </w:pPr>
    </w:p>
    <w:p w:rsidR="005B5FC9" w:rsidRPr="005B5FC9" w:rsidRDefault="005B5FC9" w:rsidP="005B5FC9">
      <w:pPr>
        <w:keepNext/>
        <w:spacing w:after="0" w:line="240" w:lineRule="auto"/>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Citibank, N.A., as the Transfer Agent</w:t>
      </w:r>
    </w:p>
    <w:p w:rsidR="005B5FC9" w:rsidRPr="005B5FC9" w:rsidRDefault="005B5FC9" w:rsidP="005B5FC9">
      <w:pPr>
        <w:keepNext/>
        <w:spacing w:after="0" w:line="240" w:lineRule="auto"/>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480 Washington Boulevard</w:t>
      </w:r>
    </w:p>
    <w:p w:rsidR="005B5FC9" w:rsidRPr="005B5FC9" w:rsidRDefault="005B5FC9" w:rsidP="005B5FC9">
      <w:pPr>
        <w:keepNext/>
        <w:spacing w:after="0" w:line="240" w:lineRule="auto"/>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Jersey City, NJ 07310</w:t>
      </w:r>
    </w:p>
    <w:p w:rsidR="005B5FC9" w:rsidRPr="005B5FC9" w:rsidRDefault="005B5FC9" w:rsidP="005B5FC9">
      <w:pPr>
        <w:keepNext/>
        <w:spacing w:after="0" w:line="240" w:lineRule="auto"/>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Attention: Agency &amp; Trust – Guayaquil Merchant Voucher Receivables Limited</w:t>
      </w:r>
    </w:p>
    <w:p w:rsidR="005B5FC9" w:rsidRPr="005B5FC9" w:rsidRDefault="005B5FC9" w:rsidP="005B5FC9">
      <w:pPr>
        <w:autoSpaceDE w:val="0"/>
        <w:autoSpaceDN w:val="0"/>
        <w:adjustRightInd w:val="0"/>
        <w:spacing w:after="0" w:line="240" w:lineRule="auto"/>
        <w:jc w:val="both"/>
        <w:rPr>
          <w:rFonts w:ascii="Times New Roman" w:eastAsia="MS Mincho" w:hAnsi="Times New Roman" w:cs="Times New Roman"/>
          <w:sz w:val="24"/>
          <w:szCs w:val="24"/>
        </w:rPr>
      </w:pPr>
    </w:p>
    <w:p w:rsidR="005B5FC9" w:rsidRPr="005B5FC9" w:rsidRDefault="005B5FC9" w:rsidP="005B5FC9">
      <w:pPr>
        <w:tabs>
          <w:tab w:val="right" w:pos="8370"/>
        </w:tabs>
        <w:autoSpaceDE w:val="0"/>
        <w:autoSpaceDN w:val="0"/>
        <w:adjustRightInd w:val="0"/>
        <w:spacing w:after="240" w:line="240" w:lineRule="auto"/>
        <w:ind w:left="720" w:hanging="720"/>
        <w:rPr>
          <w:rFonts w:ascii="Times New Roman" w:eastAsia="MS Mincho" w:hAnsi="Times New Roman" w:cs="Times New Roman"/>
          <w:sz w:val="24"/>
          <w:szCs w:val="24"/>
          <w:u w:val="single"/>
        </w:rPr>
      </w:pPr>
      <w:r w:rsidRPr="005B5FC9">
        <w:rPr>
          <w:rFonts w:ascii="Times New Roman" w:eastAsia="MS Mincho" w:hAnsi="Times New Roman" w:cs="Times New Roman"/>
          <w:sz w:val="24"/>
          <w:szCs w:val="24"/>
        </w:rPr>
        <w:t>Re:</w:t>
      </w:r>
      <w:r w:rsidRPr="005B5FC9">
        <w:rPr>
          <w:rFonts w:ascii="Times New Roman" w:eastAsia="MS Mincho" w:hAnsi="Times New Roman" w:cs="Times New Roman"/>
          <w:sz w:val="24"/>
          <w:szCs w:val="24"/>
        </w:rPr>
        <w:tab/>
        <w:t xml:space="preserve">Guayaquil Merchant Voucher Receivables Limited </w:t>
      </w:r>
      <w:r w:rsidRPr="005B5FC9">
        <w:rPr>
          <w:rFonts w:ascii="Times New Roman" w:eastAsia="MS Mincho" w:hAnsi="Times New Roman" w:cs="Times New Roman"/>
          <w:sz w:val="24"/>
          <w:szCs w:val="24"/>
        </w:rPr>
        <w:br/>
        <w:t>Series 2019-1 Fixed Rate Notes (the “</w:t>
      </w:r>
      <w:r w:rsidRPr="005B5FC9">
        <w:rPr>
          <w:rFonts w:ascii="Times New Roman" w:eastAsia="MS Mincho" w:hAnsi="Times New Roman" w:cs="Times New Roman"/>
          <w:sz w:val="24"/>
          <w:szCs w:val="24"/>
          <w:u w:val="single"/>
        </w:rPr>
        <w:t>Series 2019-1 Notes</w:t>
      </w:r>
      <w:r w:rsidRPr="005B5FC9">
        <w:rPr>
          <w:rFonts w:ascii="Times New Roman" w:eastAsia="MS Mincho" w:hAnsi="Times New Roman" w:cs="Times New Roman"/>
          <w:sz w:val="24"/>
          <w:szCs w:val="24"/>
        </w:rPr>
        <w:t>”)</w:t>
      </w:r>
    </w:p>
    <w:p w:rsidR="005B5FC9" w:rsidRPr="005B5FC9" w:rsidRDefault="005B5FC9" w:rsidP="005B5FC9">
      <w:pPr>
        <w:spacing w:after="240" w:line="240" w:lineRule="auto"/>
        <w:ind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 xml:space="preserve">Reference is hereby made to the Series 2019-1 Indenture Supplement, dated as of </w:t>
      </w:r>
      <w:r w:rsidR="00590858">
        <w:rPr>
          <w:rFonts w:ascii="Times New Roman" w:eastAsia="MS Mincho" w:hAnsi="Times New Roman" w:cs="Times New Roman"/>
          <w:sz w:val="24"/>
          <w:szCs w:val="24"/>
        </w:rPr>
        <w:t>August 8,</w:t>
      </w:r>
      <w:r w:rsidRPr="005B5FC9">
        <w:rPr>
          <w:rFonts w:ascii="Times New Roman" w:eastAsia="MS Mincho" w:hAnsi="Times New Roman" w:cs="Times New Roman"/>
          <w:sz w:val="24"/>
          <w:szCs w:val="24"/>
        </w:rPr>
        <w:t xml:space="preserve"> 2019, (as amended, supplemented or otherwise modified from time to time, the “</w:t>
      </w:r>
      <w:r w:rsidRPr="005B5FC9">
        <w:rPr>
          <w:rFonts w:ascii="Times New Roman" w:eastAsia="MS Mincho" w:hAnsi="Times New Roman" w:cs="Times New Roman"/>
          <w:sz w:val="24"/>
          <w:szCs w:val="24"/>
          <w:u w:val="single"/>
        </w:rPr>
        <w:t>Indenture Supplement</w:t>
      </w:r>
      <w:r w:rsidRPr="005B5FC9">
        <w:rPr>
          <w:rFonts w:ascii="Times New Roman" w:eastAsia="MS Mincho" w:hAnsi="Times New Roman" w:cs="Times New Roman"/>
          <w:sz w:val="24"/>
          <w:szCs w:val="24"/>
        </w:rPr>
        <w:t>”), among Guayaquil Merchant Voucher Receivables Limited (the “</w:t>
      </w:r>
      <w:r w:rsidRPr="005B5FC9">
        <w:rPr>
          <w:rFonts w:ascii="Times New Roman" w:eastAsia="MS Mincho" w:hAnsi="Times New Roman" w:cs="Times New Roman"/>
          <w:sz w:val="24"/>
          <w:szCs w:val="24"/>
          <w:u w:val="single"/>
        </w:rPr>
        <w:t>SPC</w:t>
      </w:r>
      <w:r w:rsidRPr="005B5FC9">
        <w:rPr>
          <w:rFonts w:ascii="Times New Roman" w:eastAsia="MS Mincho" w:hAnsi="Times New Roman" w:cs="Times New Roman"/>
          <w:sz w:val="24"/>
          <w:szCs w:val="24"/>
        </w:rPr>
        <w:t>”), Banco Guayaquil S.A. (the “</w:t>
      </w:r>
      <w:r w:rsidRPr="005B5FC9">
        <w:rPr>
          <w:rFonts w:ascii="Times New Roman" w:eastAsia="MS Mincho" w:hAnsi="Times New Roman" w:cs="Times New Roman"/>
          <w:sz w:val="24"/>
          <w:szCs w:val="24"/>
          <w:u w:val="single"/>
        </w:rPr>
        <w:t>Bank</w:t>
      </w:r>
      <w:r w:rsidRPr="005B5FC9">
        <w:rPr>
          <w:rFonts w:ascii="Times New Roman" w:eastAsia="MS Mincho" w:hAnsi="Times New Roman" w:cs="Times New Roman"/>
          <w:sz w:val="24"/>
          <w:szCs w:val="24"/>
        </w:rPr>
        <w:t>”) and Citibank, N.A., as the Collateral Agent (in such capacity, the “</w:t>
      </w:r>
      <w:r w:rsidRPr="005B5FC9">
        <w:rPr>
          <w:rFonts w:ascii="Times New Roman" w:eastAsia="MS Mincho" w:hAnsi="Times New Roman" w:cs="Times New Roman"/>
          <w:sz w:val="24"/>
          <w:szCs w:val="24"/>
          <w:u w:val="single"/>
        </w:rPr>
        <w:t>Collateral Agent</w:t>
      </w:r>
      <w:r w:rsidRPr="005B5FC9">
        <w:rPr>
          <w:rFonts w:ascii="Times New Roman" w:eastAsia="MS Mincho" w:hAnsi="Times New Roman" w:cs="Times New Roman"/>
          <w:sz w:val="24"/>
          <w:szCs w:val="24"/>
        </w:rPr>
        <w:t>”) and as the Indenture Trustee (in such capacity, the “</w:t>
      </w:r>
      <w:r w:rsidRPr="005B5FC9">
        <w:rPr>
          <w:rFonts w:ascii="Times New Roman" w:eastAsia="MS Mincho" w:hAnsi="Times New Roman" w:cs="Times New Roman"/>
          <w:sz w:val="24"/>
          <w:szCs w:val="24"/>
          <w:u w:val="single"/>
        </w:rPr>
        <w:t>Indenture Trustee</w:t>
      </w:r>
      <w:r w:rsidRPr="005B5FC9">
        <w:rPr>
          <w:rFonts w:ascii="Times New Roman" w:eastAsia="MS Mincho" w:hAnsi="Times New Roman" w:cs="Times New Roman"/>
          <w:sz w:val="24"/>
          <w:szCs w:val="24"/>
        </w:rPr>
        <w:t>”). Capitalized terms used but not defined herein shall have the meanings given to them in the Indenture Supplement.</w:t>
      </w:r>
    </w:p>
    <w:p w:rsidR="005B5FC9" w:rsidRPr="005B5FC9" w:rsidRDefault="005B5FC9" w:rsidP="005B5FC9">
      <w:pPr>
        <w:spacing w:after="240" w:line="240" w:lineRule="auto"/>
        <w:ind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This certificate (the “</w:t>
      </w:r>
      <w:r w:rsidRPr="005B5FC9">
        <w:rPr>
          <w:rFonts w:ascii="Times New Roman" w:eastAsia="MS Mincho" w:hAnsi="Times New Roman" w:cs="Times New Roman"/>
          <w:sz w:val="24"/>
          <w:szCs w:val="24"/>
          <w:u w:val="single"/>
        </w:rPr>
        <w:t>Transferee Certificate</w:t>
      </w:r>
      <w:r w:rsidRPr="005B5FC9">
        <w:rPr>
          <w:rFonts w:ascii="Times New Roman" w:eastAsia="MS Mincho" w:hAnsi="Times New Roman" w:cs="Times New Roman"/>
          <w:sz w:val="24"/>
          <w:szCs w:val="24"/>
        </w:rPr>
        <w:t>”) relates to the undersigned’s (the “</w:t>
      </w:r>
      <w:r w:rsidRPr="005B5FC9">
        <w:rPr>
          <w:rFonts w:ascii="Times New Roman" w:eastAsia="MS Mincho" w:hAnsi="Times New Roman" w:cs="Times New Roman"/>
          <w:sz w:val="24"/>
          <w:szCs w:val="24"/>
          <w:u w:val="single"/>
        </w:rPr>
        <w:t>Transferee</w:t>
      </w:r>
      <w:r w:rsidRPr="005B5FC9">
        <w:rPr>
          <w:rFonts w:ascii="Times New Roman" w:eastAsia="MS Mincho" w:hAnsi="Times New Roman" w:cs="Times New Roman"/>
          <w:sz w:val="24"/>
          <w:szCs w:val="24"/>
        </w:rPr>
        <w:t>”) acquisition of US$_________ of the Series 2019-1 Notes from [___________] (the “</w:t>
      </w:r>
      <w:r w:rsidRPr="005B5FC9">
        <w:rPr>
          <w:rFonts w:ascii="Times New Roman" w:eastAsia="MS Mincho" w:hAnsi="Times New Roman" w:cs="Times New Roman"/>
          <w:sz w:val="24"/>
          <w:szCs w:val="24"/>
          <w:u w:val="single"/>
        </w:rPr>
        <w:t>Transferor</w:t>
      </w:r>
      <w:r w:rsidRPr="005B5FC9">
        <w:rPr>
          <w:rFonts w:ascii="Times New Roman" w:eastAsia="MS Mincho" w:hAnsi="Times New Roman" w:cs="Times New Roman"/>
          <w:sz w:val="24"/>
          <w:szCs w:val="24"/>
        </w:rPr>
        <w:t>”). The Transferee (and if such Transferee is an insurance company general account, insurance company separate account, bank collective investment fund or investment fund managed by a qualified professional asset manager or an in house asset manager, each fiduciary with respect to the assets used to acquire the Series 2019-1 Notes) hereby certifies to, and agrees with, the SPC, the Bank, the Collateral Agent and the Indenture Trustee that:</w:t>
      </w:r>
    </w:p>
    <w:p w:rsidR="005B5FC9" w:rsidRPr="005B5FC9" w:rsidRDefault="005B5FC9" w:rsidP="005B5FC9">
      <w:pPr>
        <w:spacing w:after="240" w:line="240" w:lineRule="auto"/>
        <w:ind w:left="72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(A)</w:t>
      </w:r>
      <w:r w:rsidRPr="005B5FC9">
        <w:rPr>
          <w:rFonts w:ascii="Times New Roman" w:eastAsia="MS Mincho" w:hAnsi="Times New Roman" w:cs="Times New Roman"/>
          <w:sz w:val="24"/>
          <w:szCs w:val="24"/>
        </w:rPr>
        <w:tab/>
        <w:t xml:space="preserve">It (or if it is acting for the account of another Person, it has had confirmed to it in writing that such other Person) is duly authorized to invest in the Series 2019-1 Notes, and the person executing this Transferee Certificate on behalf of the Transferee is duly authorized to do so on the Transferee’s behalf. </w:t>
      </w:r>
    </w:p>
    <w:p w:rsidR="005B5FC9" w:rsidRPr="005B5FC9" w:rsidRDefault="005B5FC9" w:rsidP="005B5FC9">
      <w:pPr>
        <w:spacing w:after="240" w:line="240" w:lineRule="auto"/>
        <w:ind w:left="72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(B)</w:t>
      </w:r>
      <w:r w:rsidRPr="005B5FC9">
        <w:rPr>
          <w:rFonts w:ascii="Times New Roman" w:eastAsia="MS Mincho" w:hAnsi="Times New Roman" w:cs="Times New Roman"/>
          <w:sz w:val="24"/>
          <w:szCs w:val="24"/>
        </w:rPr>
        <w:tab/>
        <w:t>It (or if it is acting for the account of another Person, it has had confirmed to it in writing that such other Person) understands and acknowledges that the Series 2019-1 Notes have not been and will not be registered under the United States Securities Act of 1933, as amended (the “</w:t>
      </w:r>
      <w:r w:rsidRPr="005B5FC9">
        <w:rPr>
          <w:rFonts w:ascii="Times New Roman" w:eastAsia="MS Mincho" w:hAnsi="Times New Roman" w:cs="Times New Roman"/>
          <w:sz w:val="24"/>
          <w:szCs w:val="24"/>
          <w:u w:val="single"/>
        </w:rPr>
        <w:t>Securities Act</w:t>
      </w:r>
      <w:r w:rsidRPr="005B5FC9">
        <w:rPr>
          <w:rFonts w:ascii="Times New Roman" w:eastAsia="MS Mincho" w:hAnsi="Times New Roman" w:cs="Times New Roman"/>
          <w:sz w:val="24"/>
          <w:szCs w:val="24"/>
        </w:rPr>
        <w:t xml:space="preserve">”) or any other applicable securities law and that the Series 2019-1 Notes may not be offered, sold or otherwise transferred except in compliance with the registration requirements of the Securities Act and any other applicable securities laws, pursuant to any exemption therefrom or in a transaction not subject thereto, and in each case in compliance with the conditions for transfer set forth in </w:t>
      </w:r>
      <w:r w:rsidRPr="005B5FC9">
        <w:rPr>
          <w:rFonts w:ascii="Times New Roman" w:eastAsia="MS Mincho" w:hAnsi="Times New Roman" w:cs="Times New Roman"/>
          <w:sz w:val="24"/>
          <w:szCs w:val="24"/>
          <w:u w:val="single"/>
        </w:rPr>
        <w:t>paragraph (E)</w:t>
      </w:r>
      <w:r w:rsidRPr="005B5FC9">
        <w:rPr>
          <w:rFonts w:ascii="Times New Roman" w:eastAsia="MS Mincho" w:hAnsi="Times New Roman" w:cs="Times New Roman"/>
          <w:sz w:val="24"/>
          <w:szCs w:val="24"/>
        </w:rPr>
        <w:t xml:space="preserve"> below.</w:t>
      </w:r>
    </w:p>
    <w:p w:rsidR="005B5FC9" w:rsidRPr="005B5FC9" w:rsidRDefault="005B5FC9" w:rsidP="005B5FC9">
      <w:pPr>
        <w:spacing w:after="240" w:line="240" w:lineRule="auto"/>
        <w:ind w:left="72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(C)</w:t>
      </w:r>
      <w:r w:rsidRPr="005B5FC9">
        <w:rPr>
          <w:rFonts w:ascii="Times New Roman" w:eastAsia="MS Mincho" w:hAnsi="Times New Roman" w:cs="Times New Roman"/>
          <w:sz w:val="24"/>
          <w:szCs w:val="24"/>
        </w:rPr>
        <w:tab/>
        <w:t>It (or if it is acting for the account of another Person, it has had confirmed to it in writing that such other Person) is:</w:t>
      </w:r>
    </w:p>
    <w:p w:rsidR="00590858" w:rsidRDefault="005B5FC9" w:rsidP="005B5FC9">
      <w:pPr>
        <w:spacing w:after="240" w:line="240" w:lineRule="auto"/>
        <w:ind w:left="144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_____. An "accredited investor" within the meaning of Rule 501(a)(1), (2), (3) or (7) of Regulation D ("</w:t>
      </w:r>
      <w:r w:rsidRPr="005B5FC9">
        <w:rPr>
          <w:rFonts w:ascii="Times New Roman" w:eastAsia="MS Mincho" w:hAnsi="Times New Roman" w:cs="Times New Roman"/>
          <w:sz w:val="24"/>
          <w:szCs w:val="24"/>
          <w:u w:val="single"/>
        </w:rPr>
        <w:t>Regulation D</w:t>
      </w:r>
      <w:r w:rsidRPr="005B5FC9">
        <w:rPr>
          <w:rFonts w:ascii="Times New Roman" w:eastAsia="MS Mincho" w:hAnsi="Times New Roman" w:cs="Times New Roman"/>
          <w:sz w:val="24"/>
          <w:szCs w:val="24"/>
        </w:rPr>
        <w:t xml:space="preserve">") under the Securities Act (an </w:t>
      </w:r>
    </w:p>
    <w:p w:rsidR="005B5FC9" w:rsidRPr="005B5FC9" w:rsidRDefault="005B5FC9" w:rsidP="005B5FC9">
      <w:pPr>
        <w:spacing w:after="240" w:line="240" w:lineRule="auto"/>
        <w:ind w:left="144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lastRenderedPageBreak/>
        <w:t>"</w:t>
      </w:r>
      <w:r w:rsidRPr="005B5FC9">
        <w:rPr>
          <w:rFonts w:ascii="Times New Roman" w:eastAsia="MS Mincho" w:hAnsi="Times New Roman" w:cs="Times New Roman"/>
          <w:sz w:val="24"/>
          <w:szCs w:val="24"/>
          <w:u w:val="single"/>
        </w:rPr>
        <w:t>Institutional Accredited Investor</w:t>
      </w:r>
      <w:r w:rsidRPr="005B5FC9">
        <w:rPr>
          <w:rFonts w:ascii="Times New Roman" w:eastAsia="MS Mincho" w:hAnsi="Times New Roman" w:cs="Times New Roman"/>
          <w:sz w:val="24"/>
          <w:szCs w:val="24"/>
        </w:rPr>
        <w:t>") and represents that such acquisition is being made for investment and not with a view to any distribution, resale or transfer thereof (provided that the disposition of such investment shall at all times be within its control), will be for its own account or for the account of another Institutional Accredited Investor for investment and not with a view to any distribution, resale or transfer thereof (provided that the disposition of such investment shall at all times be within its control); or</w:t>
      </w:r>
    </w:p>
    <w:p w:rsidR="005B5FC9" w:rsidRPr="005B5FC9" w:rsidRDefault="005B5FC9" w:rsidP="005B5FC9">
      <w:pPr>
        <w:spacing w:after="240" w:line="240" w:lineRule="auto"/>
        <w:ind w:left="144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____ not a “U.S. Person” within the meaning of Rule 902 of Regulation S (“</w:t>
      </w:r>
      <w:r w:rsidRPr="005B5FC9">
        <w:rPr>
          <w:rFonts w:ascii="Times New Roman" w:eastAsia="MS Mincho" w:hAnsi="Times New Roman" w:cs="Times New Roman"/>
          <w:sz w:val="24"/>
          <w:szCs w:val="24"/>
          <w:u w:val="single"/>
        </w:rPr>
        <w:t>Regulation S</w:t>
      </w:r>
      <w:r w:rsidRPr="005B5FC9">
        <w:rPr>
          <w:rFonts w:ascii="Times New Roman" w:eastAsia="MS Mincho" w:hAnsi="Times New Roman" w:cs="Times New Roman"/>
          <w:sz w:val="24"/>
          <w:szCs w:val="24"/>
        </w:rPr>
        <w:t>”) under the Securities Act (a “</w:t>
      </w:r>
      <w:r w:rsidRPr="005B5FC9">
        <w:rPr>
          <w:rFonts w:ascii="Times New Roman" w:eastAsia="MS Mincho" w:hAnsi="Times New Roman" w:cs="Times New Roman"/>
          <w:sz w:val="24"/>
          <w:szCs w:val="24"/>
          <w:u w:val="single"/>
        </w:rPr>
        <w:t>Non U.S. Person</w:t>
      </w:r>
      <w:r w:rsidRPr="005B5FC9">
        <w:rPr>
          <w:rFonts w:ascii="Times New Roman" w:eastAsia="MS Mincho" w:hAnsi="Times New Roman" w:cs="Times New Roman"/>
          <w:sz w:val="24"/>
          <w:szCs w:val="24"/>
        </w:rPr>
        <w:t>”) and is acquiring the Series 2019-1 Notes in an offshore transaction, is aware that any sale of the Series 2019-1 Notes to it will be made pursuant to Regulation S and represents that such acquisition is being made for investment and not with a view to any distribution, resale or transfer thereof (provided that the disposition of such investment shall at all times be within its control), will be for its own account or for the account of another Non-U.S. Person who is also aware that the sale to it is being made pursuant to Regulation S for investment and not with a view to any distribution, resale or transfer thereof (provided that the disposition of such investment shall at all times be within its control).</w:t>
      </w:r>
    </w:p>
    <w:p w:rsidR="005B5FC9" w:rsidRPr="005B5FC9" w:rsidRDefault="005B5FC9" w:rsidP="005B5FC9">
      <w:pPr>
        <w:spacing w:after="240" w:line="240" w:lineRule="auto"/>
        <w:ind w:left="72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(D)</w:t>
      </w:r>
      <w:r w:rsidRPr="005B5FC9">
        <w:rPr>
          <w:rFonts w:ascii="Times New Roman" w:eastAsia="MS Mincho" w:hAnsi="Times New Roman" w:cs="Times New Roman"/>
          <w:sz w:val="24"/>
          <w:szCs w:val="24"/>
        </w:rPr>
        <w:tab/>
        <w:t>It (or if it is acting for the account of another Person, it has had confirmed to it in writing that such other Person): (i) has such knowledge and experience in financial and business matters, and in particular in such matters related to securities similar to the Series 2019-1 Notes, that it is capable of evaluating the merits and risks of its investment in the Series 2019-1 Notes and is able to bear the risks associated with holding the Series 2019-1 Notes for an indefinite period of time, (ii) has had access to such financial and other information concerning the SPC, the Bank, the Series 2019-1 Notes and the Purchased Receivables as it has deemed necessary in connection with its decision to invest in the Series 2019-1 Notes, and (iii) acknowledges that no Person other than the Bank and the SPC has been authorized to give any information or make any representation other than those in the Series 2019-1 Indenture Supplement and other Transaction Documents and, if given or made by any Person other than the Bank or the SPC, such information or representation must not be relied upon as having been authorized by the Bank, the SPC, the Collateral Agent, the Indenture Trustee or any Affiliate or representative of any such Person.</w:t>
      </w:r>
    </w:p>
    <w:p w:rsidR="00590858" w:rsidRDefault="005B5FC9" w:rsidP="005B5FC9">
      <w:pPr>
        <w:spacing w:after="240" w:line="240" w:lineRule="auto"/>
        <w:ind w:left="72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(E)</w:t>
      </w:r>
      <w:r w:rsidRPr="005B5FC9">
        <w:rPr>
          <w:rFonts w:ascii="Times New Roman" w:eastAsia="MS Mincho" w:hAnsi="Times New Roman" w:cs="Times New Roman"/>
          <w:sz w:val="24"/>
          <w:szCs w:val="24"/>
        </w:rPr>
        <w:tab/>
        <w:t>It agrees on its own behalf and on behalf of any investor account for which it is investing in the Series 2019-1 Notes to offer, sell or otherwise transfer such Series 2019-1 Notes before the date (the “</w:t>
      </w:r>
      <w:r w:rsidRPr="005B5FC9">
        <w:rPr>
          <w:rFonts w:ascii="Times New Roman" w:eastAsia="MS Mincho" w:hAnsi="Times New Roman" w:cs="Times New Roman"/>
          <w:sz w:val="24"/>
          <w:szCs w:val="24"/>
          <w:u w:val="single"/>
        </w:rPr>
        <w:t>Resale Restriction Termination Date</w:t>
      </w:r>
      <w:r w:rsidRPr="005B5FC9">
        <w:rPr>
          <w:rFonts w:ascii="Times New Roman" w:eastAsia="MS Mincho" w:hAnsi="Times New Roman" w:cs="Times New Roman"/>
          <w:sz w:val="24"/>
          <w:szCs w:val="24"/>
        </w:rPr>
        <w:t xml:space="preserve">”) that is one year after the later of  the Issuance Date of the Series 2019-1 Notes and the last date on which the SPC or any Affiliate thereof was the owner of such Series 2019-1 Notes only: (i) to the SPC, (ii) pursuant to a registration statement that has been declared effective under the Securities Act, (iii) to an Institutional Accredited Investor, (iv) pursuant to an exemption from registration provided by Rule 144A under the Securities Act, (v) pursuant to Rule 903 or 904 of Regulation S or (vi) pursuant to another available exemption from the registration requirements of the Securities Act and other applicable </w:t>
      </w:r>
    </w:p>
    <w:p w:rsidR="005B5FC9" w:rsidRPr="005B5FC9" w:rsidRDefault="005B5FC9" w:rsidP="005B5FC9">
      <w:pPr>
        <w:spacing w:after="240" w:line="240" w:lineRule="auto"/>
        <w:ind w:left="72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 xml:space="preserve">securities laws. It acknowledges that the SPC, the Bank, the Collateral Agent and the Indenture Trustee reserve the right, before any offer, sale or other transfer of the Series 2019-1 Notes pursuant to </w:t>
      </w:r>
      <w:r w:rsidRPr="005B5FC9">
        <w:rPr>
          <w:rFonts w:ascii="Times New Roman" w:eastAsia="MS Mincho" w:hAnsi="Times New Roman" w:cs="Times New Roman"/>
          <w:sz w:val="24"/>
          <w:szCs w:val="24"/>
          <w:u w:val="single"/>
        </w:rPr>
        <w:t>clause (vi)</w:t>
      </w:r>
      <w:r w:rsidRPr="005B5FC9">
        <w:rPr>
          <w:rFonts w:ascii="Times New Roman" w:eastAsia="MS Mincho" w:hAnsi="Times New Roman" w:cs="Times New Roman"/>
          <w:sz w:val="24"/>
          <w:szCs w:val="24"/>
        </w:rPr>
        <w:t xml:space="preserve">, to require the delivery of an opinion of counsel, certifications and/or other information satisfactory to the SPC, the Bank, the Collateral Agent and the Indenture Trustee. It acknowledges that the Series 2019-1 Notes held by it may contain a legend as provided in </w:t>
      </w:r>
      <w:r w:rsidRPr="005B5FC9">
        <w:rPr>
          <w:rFonts w:ascii="Times New Roman" w:eastAsia="MS Mincho" w:hAnsi="Times New Roman" w:cs="Times New Roman"/>
          <w:sz w:val="24"/>
          <w:szCs w:val="24"/>
          <w:u w:val="single"/>
        </w:rPr>
        <w:t>Section 2.4</w:t>
      </w:r>
      <w:r w:rsidRPr="005B5FC9">
        <w:rPr>
          <w:rFonts w:ascii="Times New Roman" w:eastAsia="MS Mincho" w:hAnsi="Times New Roman" w:cs="Times New Roman"/>
          <w:sz w:val="24"/>
          <w:szCs w:val="24"/>
        </w:rPr>
        <w:t xml:space="preserve"> of the Series 2019-1 Indenture Supplement.</w:t>
      </w:r>
    </w:p>
    <w:p w:rsidR="005B5FC9" w:rsidRPr="005B5FC9" w:rsidRDefault="005B5FC9" w:rsidP="005B5FC9">
      <w:pPr>
        <w:spacing w:after="240" w:line="240" w:lineRule="auto"/>
        <w:ind w:left="72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(F)</w:t>
      </w:r>
      <w:r w:rsidRPr="005B5FC9">
        <w:rPr>
          <w:rFonts w:ascii="Times New Roman" w:eastAsia="MS Mincho" w:hAnsi="Times New Roman" w:cs="Times New Roman"/>
          <w:sz w:val="24"/>
          <w:szCs w:val="24"/>
        </w:rPr>
        <w:tab/>
        <w:t>(i) It (or if it is acting for the account of another Person, it has had confirmed to it in writing that such other Person) is not (A) an “employee benefit plan” as defined in Section 3(3) of the United States Employee Retirement Income Security Act of 1974 (“</w:t>
      </w:r>
      <w:r w:rsidRPr="005B5FC9">
        <w:rPr>
          <w:rFonts w:ascii="Times New Roman" w:eastAsia="MS Mincho" w:hAnsi="Times New Roman" w:cs="Times New Roman"/>
          <w:i/>
          <w:iCs/>
          <w:sz w:val="24"/>
          <w:szCs w:val="24"/>
        </w:rPr>
        <w:t>ERISA</w:t>
      </w:r>
      <w:r w:rsidRPr="005B5FC9">
        <w:rPr>
          <w:rFonts w:ascii="Times New Roman" w:eastAsia="MS Mincho" w:hAnsi="Times New Roman" w:cs="Times New Roman"/>
          <w:sz w:val="24"/>
          <w:szCs w:val="24"/>
        </w:rPr>
        <w:t>”) that is subject to the provisions of Part 4 of Subtitle B of Title I of ERISA, (B) a “plan” to which Section 4975 of the Code applies, (C) a governmental, church or non-U.S. plan that is subject to any Federal, state, local or other laws or regulations that are substantially similar to the fiduciary responsibility and prohibited transaction provisions of ERISA or the Code (“</w:t>
      </w:r>
      <w:r w:rsidRPr="005B5FC9">
        <w:rPr>
          <w:rFonts w:ascii="Times New Roman" w:eastAsia="MS Mincho" w:hAnsi="Times New Roman" w:cs="Times New Roman"/>
          <w:i/>
          <w:iCs/>
          <w:sz w:val="24"/>
          <w:szCs w:val="24"/>
        </w:rPr>
        <w:t>Similar Law</w:t>
      </w:r>
      <w:r w:rsidRPr="005B5FC9">
        <w:rPr>
          <w:rFonts w:ascii="Times New Roman" w:eastAsia="MS Mincho" w:hAnsi="Times New Roman" w:cs="Times New Roman"/>
          <w:sz w:val="24"/>
          <w:szCs w:val="24"/>
        </w:rPr>
        <w:t>”) or (D) an entity whose underlying assets are deemed to include “plan assets” of any of the foregoing, or (ii) its (or if it is acting for the account of another Person, it has had confirmed to it in writing that such other Person’s) acquisition or holding of such Series 2019-1 Note (or a beneficial interest therein) does not and will not give rise to a non-exempt prohibited transaction under ERISA or Section 4975 of the Code or, with respect to any governmental, church or non-U.S. plan, a non-exempt violation of any Similar Law, and its understanding that a “benefit plan investor” as defined in Section 3(42) of ERISA may not acquire the Series 2019-1 Notes at any time that the Series 2019-1 Notes have been determined to be other than indebtedness under U.S. federal tax or New York law.</w:t>
      </w:r>
    </w:p>
    <w:p w:rsidR="005B5FC9" w:rsidRPr="005B5FC9" w:rsidRDefault="005B5FC9" w:rsidP="005B5FC9">
      <w:pPr>
        <w:spacing w:after="240" w:line="240" w:lineRule="auto"/>
        <w:ind w:left="72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(G)</w:t>
      </w:r>
      <w:r w:rsidRPr="005B5FC9">
        <w:rPr>
          <w:rFonts w:ascii="Times New Roman" w:eastAsia="MS Mincho" w:hAnsi="Times New Roman" w:cs="Times New Roman"/>
          <w:sz w:val="24"/>
          <w:szCs w:val="24"/>
        </w:rPr>
        <w:tab/>
        <w:t>If it is acquiring any Series 2019-1 Note as a fiduciary or agent for one or more investor account(s), then it represents that it has sole investment discretion with respect to each such account and that it has full power to make the foregoing acknowledgments, representations and agreements on behalf of each such account.</w:t>
      </w:r>
    </w:p>
    <w:p w:rsidR="00590858" w:rsidRDefault="005B5FC9" w:rsidP="00590858">
      <w:pPr>
        <w:spacing w:after="240" w:line="240" w:lineRule="auto"/>
        <w:ind w:left="72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(H)</w:t>
      </w:r>
      <w:r w:rsidRPr="005B5FC9">
        <w:rPr>
          <w:rFonts w:ascii="Times New Roman" w:eastAsia="MS Mincho" w:hAnsi="Times New Roman" w:cs="Times New Roman"/>
          <w:sz w:val="24"/>
          <w:szCs w:val="24"/>
        </w:rPr>
        <w:tab/>
        <w:t>It acknowledges that the Bank, the SPC, the Collateral Agent, the Indenture Trustee and others will rely upon the truth and accuracy of the foregoing acknowledgments, representations and agreements and agrees that, if any acknowledgment, representation or warranty made by it is no longer accurate, then it shall promptly so notify the Bank, the SPC, the Collateral Agent and the Indenture Trustee in writing.</w:t>
      </w:r>
    </w:p>
    <w:p w:rsidR="005B5FC9" w:rsidRPr="005B5FC9" w:rsidRDefault="005B5FC9" w:rsidP="00590858">
      <w:pPr>
        <w:spacing w:after="240" w:line="240" w:lineRule="auto"/>
        <w:ind w:left="720"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This certificate and the statements contained herein are made for your benefit and for the benefit of the SPC and the Bank.</w:t>
      </w:r>
    </w:p>
    <w:p w:rsidR="00590858" w:rsidRDefault="00590858" w:rsidP="005B5FC9">
      <w:pPr>
        <w:keepNext/>
        <w:spacing w:after="480" w:line="240" w:lineRule="auto"/>
        <w:ind w:left="4320"/>
        <w:jc w:val="both"/>
        <w:rPr>
          <w:rFonts w:ascii="Times New Roman" w:eastAsia="MS Mincho" w:hAnsi="Times New Roman" w:cs="Times New Roman"/>
          <w:sz w:val="24"/>
          <w:szCs w:val="24"/>
        </w:rPr>
      </w:pPr>
    </w:p>
    <w:p w:rsidR="005B5FC9" w:rsidRPr="005B5FC9" w:rsidRDefault="005B5FC9" w:rsidP="005B5FC9">
      <w:pPr>
        <w:keepNext/>
        <w:spacing w:after="480" w:line="240" w:lineRule="auto"/>
        <w:ind w:left="43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[Insert name of certifying person or institution]</w:t>
      </w:r>
    </w:p>
    <w:p w:rsidR="005B5FC9" w:rsidRPr="005B5FC9" w:rsidRDefault="005B5FC9" w:rsidP="005B5FC9">
      <w:pPr>
        <w:keepNext/>
        <w:spacing w:after="0" w:line="240" w:lineRule="auto"/>
        <w:ind w:left="43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By:  _______________________</w:t>
      </w:r>
    </w:p>
    <w:p w:rsidR="005B5FC9" w:rsidRPr="005B5FC9" w:rsidRDefault="005B5FC9" w:rsidP="005B5FC9">
      <w:pPr>
        <w:spacing w:after="0" w:line="240" w:lineRule="auto"/>
        <w:ind w:left="43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Name:  _____________________</w:t>
      </w:r>
    </w:p>
    <w:p w:rsidR="005B5FC9" w:rsidRPr="005B5FC9" w:rsidRDefault="005B5FC9" w:rsidP="005B5FC9">
      <w:pPr>
        <w:spacing w:after="240" w:line="240" w:lineRule="auto"/>
        <w:ind w:left="43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Title:  ______________________</w:t>
      </w:r>
    </w:p>
    <w:p w:rsidR="005B5FC9" w:rsidRPr="005B5FC9" w:rsidRDefault="005B5FC9" w:rsidP="005B5FC9">
      <w:pPr>
        <w:spacing w:after="240" w:line="240" w:lineRule="auto"/>
        <w:ind w:left="43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[To be medallion stamped.]</w:t>
      </w:r>
    </w:p>
    <w:p w:rsidR="005B5FC9" w:rsidRPr="005B5FC9" w:rsidRDefault="005B5FC9" w:rsidP="005B5FC9">
      <w:pPr>
        <w:spacing w:after="240" w:line="240" w:lineRule="auto"/>
        <w:ind w:left="4320"/>
        <w:jc w:val="both"/>
        <w:rPr>
          <w:rFonts w:ascii="Times New Roman" w:eastAsia="MS Mincho" w:hAnsi="Times New Roman" w:cs="Times New Roman"/>
          <w:sz w:val="24"/>
          <w:szCs w:val="24"/>
        </w:rPr>
      </w:pPr>
    </w:p>
    <w:p w:rsidR="005B5FC9" w:rsidRPr="005B5FC9" w:rsidRDefault="005B5FC9" w:rsidP="005B5FC9">
      <w:pPr>
        <w:spacing w:after="240" w:line="240" w:lineRule="auto"/>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Dated:  __________________</w:t>
      </w:r>
    </w:p>
    <w:p w:rsidR="005B5FC9" w:rsidRPr="005B5FC9" w:rsidRDefault="005B5FC9" w:rsidP="005B5FC9">
      <w:pPr>
        <w:spacing w:after="0" w:line="240" w:lineRule="auto"/>
        <w:ind w:left="720"/>
        <w:rPr>
          <w:rFonts w:ascii="Times New Roman" w:eastAsia="MS Mincho" w:hAnsi="Times New Roman" w:cs="Times New Roman"/>
          <w:sz w:val="24"/>
          <w:szCs w:val="24"/>
        </w:rPr>
        <w:sectPr w:rsidR="005B5FC9" w:rsidRPr="005B5FC9" w:rsidSect="00590858">
          <w:footerReference w:type="default" r:id="rId9"/>
          <w:headerReference w:type="first" r:id="rId10"/>
          <w:footerReference w:type="first" r:id="rId11"/>
          <w:pgSz w:w="12240" w:h="15840" w:code="1"/>
          <w:pgMar w:top="1440" w:right="1440" w:bottom="1008" w:left="1440" w:header="720" w:footer="720" w:gutter="0"/>
          <w:pgNumType w:start="1"/>
          <w:cols w:space="720"/>
          <w:titlePg/>
          <w:docGrid w:linePitch="360"/>
        </w:sectPr>
      </w:pPr>
      <w:r w:rsidRPr="005B5FC9">
        <w:rPr>
          <w:rFonts w:ascii="Times New Roman" w:eastAsia="MS Mincho" w:hAnsi="Times New Roman" w:cs="Times New Roman"/>
          <w:sz w:val="24"/>
          <w:szCs w:val="24"/>
        </w:rPr>
        <w:t>cc:</w:t>
      </w:r>
      <w:r w:rsidRPr="005B5FC9">
        <w:rPr>
          <w:rFonts w:ascii="Times New Roman" w:eastAsia="MS Mincho" w:hAnsi="Times New Roman" w:cs="Times New Roman"/>
          <w:sz w:val="24"/>
          <w:szCs w:val="24"/>
        </w:rPr>
        <w:tab/>
        <w:t>Guayaquil Merchant Voucher Receivables Limited</w:t>
      </w:r>
      <w:r w:rsidRPr="005B5FC9">
        <w:rPr>
          <w:rFonts w:ascii="Times New Roman" w:eastAsia="MS Mincho" w:hAnsi="Times New Roman" w:cs="Times New Roman"/>
          <w:sz w:val="24"/>
          <w:szCs w:val="24"/>
        </w:rPr>
        <w:br/>
      </w:r>
      <w:bookmarkStart w:id="0" w:name="_GoBack"/>
      <w:bookmarkEnd w:id="0"/>
      <w:r w:rsidRPr="005B5FC9">
        <w:rPr>
          <w:rFonts w:ascii="Times New Roman" w:eastAsia="MS Mincho" w:hAnsi="Times New Roman" w:cs="Times New Roman"/>
          <w:sz w:val="24"/>
          <w:szCs w:val="24"/>
        </w:rPr>
        <w:tab/>
        <w:t xml:space="preserve">Banco Guayaquil S.A. </w:t>
      </w:r>
    </w:p>
    <w:p w:rsidR="005B5FC9" w:rsidRPr="005B5FC9" w:rsidRDefault="005B5FC9" w:rsidP="005B5FC9">
      <w:pPr>
        <w:spacing w:after="0" w:line="240" w:lineRule="auto"/>
        <w:jc w:val="center"/>
        <w:rPr>
          <w:rFonts w:ascii="Times New Roman" w:eastAsia="MS Mincho" w:hAnsi="Times New Roman" w:cs="Times New Roman"/>
          <w:sz w:val="24"/>
          <w:szCs w:val="24"/>
        </w:rPr>
      </w:pPr>
      <w:r w:rsidRPr="005B5FC9">
        <w:rPr>
          <w:rFonts w:ascii="Times New Roman" w:eastAsia="MS Mincho" w:hAnsi="Times New Roman" w:cs="Times New Roman"/>
          <w:b/>
          <w:sz w:val="24"/>
          <w:szCs w:val="24"/>
        </w:rPr>
        <w:t>FORM OF TRANSFEROR CERTIFICATE</w:t>
      </w:r>
    </w:p>
    <w:p w:rsidR="005B5FC9" w:rsidRPr="005B5FC9" w:rsidRDefault="005B5FC9" w:rsidP="005B5FC9">
      <w:pPr>
        <w:autoSpaceDE w:val="0"/>
        <w:autoSpaceDN w:val="0"/>
        <w:adjustRightInd w:val="0"/>
        <w:spacing w:after="0" w:line="240" w:lineRule="auto"/>
        <w:ind w:right="4320"/>
        <w:jc w:val="both"/>
        <w:rPr>
          <w:rFonts w:ascii="Times New Roman" w:eastAsia="MS Mincho" w:hAnsi="Times New Roman" w:cs="Times New Roman"/>
          <w:sz w:val="24"/>
          <w:szCs w:val="24"/>
        </w:rPr>
      </w:pPr>
    </w:p>
    <w:p w:rsidR="005B5FC9" w:rsidRPr="005B5FC9" w:rsidRDefault="005B5FC9" w:rsidP="005B5FC9">
      <w:pPr>
        <w:autoSpaceDE w:val="0"/>
        <w:autoSpaceDN w:val="0"/>
        <w:adjustRightInd w:val="0"/>
        <w:spacing w:after="0" w:line="240" w:lineRule="auto"/>
        <w:ind w:right="720"/>
        <w:jc w:val="right"/>
        <w:rPr>
          <w:rFonts w:ascii="Times New Roman" w:eastAsia="MS Mincho" w:hAnsi="Times New Roman" w:cs="Times New Roman"/>
          <w:sz w:val="24"/>
          <w:szCs w:val="24"/>
        </w:rPr>
      </w:pPr>
      <w:r w:rsidRPr="005B5FC9">
        <w:rPr>
          <w:rFonts w:ascii="Times New Roman" w:eastAsia="MS Mincho" w:hAnsi="Times New Roman" w:cs="Times New Roman"/>
          <w:sz w:val="24"/>
          <w:szCs w:val="24"/>
        </w:rPr>
        <w:t>[DATE]</w:t>
      </w:r>
    </w:p>
    <w:p w:rsidR="005B5FC9" w:rsidRPr="005B5FC9" w:rsidRDefault="005B5FC9" w:rsidP="005B5FC9">
      <w:pPr>
        <w:keepNext/>
        <w:spacing w:after="0" w:line="240" w:lineRule="auto"/>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Citibank, N.A., as the Transfer Agent</w:t>
      </w:r>
    </w:p>
    <w:p w:rsidR="005B5FC9" w:rsidRPr="005B5FC9" w:rsidRDefault="005B5FC9" w:rsidP="005B5FC9">
      <w:pPr>
        <w:keepNext/>
        <w:spacing w:after="0" w:line="240" w:lineRule="auto"/>
        <w:rPr>
          <w:rFonts w:ascii="Times New Roman" w:eastAsia="MS Mincho" w:hAnsi="Times New Roman" w:cs="Times New Roman"/>
          <w:sz w:val="24"/>
          <w:szCs w:val="24"/>
        </w:rPr>
      </w:pPr>
      <w:r w:rsidRPr="005B5FC9">
        <w:rPr>
          <w:rFonts w:ascii="Times New Roman" w:eastAsia="MS Mincho" w:hAnsi="Times New Roman" w:cs="Times New Roman"/>
          <w:sz w:val="24"/>
          <w:szCs w:val="24"/>
        </w:rPr>
        <w:t>480 Washington Boulevard</w:t>
      </w:r>
      <w:r w:rsidRPr="005B5FC9">
        <w:rPr>
          <w:rFonts w:ascii="Times New Roman" w:eastAsia="MS Mincho" w:hAnsi="Times New Roman" w:cs="Times New Roman"/>
          <w:sz w:val="24"/>
          <w:szCs w:val="24"/>
        </w:rPr>
        <w:br/>
        <w:t>Jersey City, NJ 07310</w:t>
      </w:r>
      <w:r w:rsidRPr="005B5FC9">
        <w:rPr>
          <w:rFonts w:ascii="Times New Roman" w:eastAsia="MS Mincho" w:hAnsi="Times New Roman" w:cs="Times New Roman"/>
          <w:sz w:val="24"/>
          <w:szCs w:val="24"/>
        </w:rPr>
        <w:br/>
        <w:t>Attention: Agency &amp; Trust – Guayaquil Merchant Voucher Receivables Limited</w:t>
      </w:r>
      <w:r w:rsidRPr="005B5FC9">
        <w:rPr>
          <w:rFonts w:ascii="Times New Roman" w:eastAsia="MS Mincho" w:hAnsi="Times New Roman" w:cs="Times New Roman"/>
          <w:sz w:val="24"/>
          <w:szCs w:val="24"/>
        </w:rPr>
        <w:br/>
        <w:t>Facsimile no.: (212) 816-5527</w:t>
      </w:r>
    </w:p>
    <w:p w:rsidR="005B5FC9" w:rsidRPr="005B5FC9" w:rsidRDefault="005B5FC9" w:rsidP="005B5FC9">
      <w:pPr>
        <w:autoSpaceDE w:val="0"/>
        <w:autoSpaceDN w:val="0"/>
        <w:adjustRightInd w:val="0"/>
        <w:spacing w:after="0" w:line="240" w:lineRule="auto"/>
        <w:jc w:val="both"/>
        <w:rPr>
          <w:rFonts w:ascii="Times New Roman" w:eastAsia="MS Mincho" w:hAnsi="Times New Roman" w:cs="Times New Roman"/>
          <w:sz w:val="24"/>
          <w:szCs w:val="24"/>
        </w:rPr>
      </w:pPr>
    </w:p>
    <w:p w:rsidR="005B5FC9" w:rsidRPr="005B5FC9" w:rsidRDefault="005B5FC9" w:rsidP="005B5FC9">
      <w:pPr>
        <w:tabs>
          <w:tab w:val="right" w:pos="8370"/>
        </w:tabs>
        <w:autoSpaceDE w:val="0"/>
        <w:autoSpaceDN w:val="0"/>
        <w:adjustRightInd w:val="0"/>
        <w:spacing w:after="240" w:line="240" w:lineRule="auto"/>
        <w:ind w:left="720" w:hanging="720"/>
        <w:rPr>
          <w:rFonts w:ascii="Times New Roman" w:eastAsia="MS Mincho" w:hAnsi="Times New Roman" w:cs="Times New Roman"/>
          <w:sz w:val="24"/>
          <w:szCs w:val="24"/>
          <w:u w:val="single"/>
        </w:rPr>
      </w:pPr>
      <w:r w:rsidRPr="005B5FC9">
        <w:rPr>
          <w:rFonts w:ascii="Times New Roman" w:eastAsia="MS Mincho" w:hAnsi="Times New Roman" w:cs="Times New Roman"/>
          <w:sz w:val="24"/>
          <w:szCs w:val="24"/>
        </w:rPr>
        <w:t>Re:</w:t>
      </w:r>
      <w:r w:rsidRPr="005B5FC9">
        <w:rPr>
          <w:rFonts w:ascii="Times New Roman" w:eastAsia="MS Mincho" w:hAnsi="Times New Roman" w:cs="Times New Roman"/>
          <w:sz w:val="24"/>
          <w:szCs w:val="24"/>
        </w:rPr>
        <w:tab/>
        <w:t xml:space="preserve">Guayaquil Merchant Voucher Receivables Limited </w:t>
      </w:r>
      <w:r w:rsidRPr="005B5FC9">
        <w:rPr>
          <w:rFonts w:ascii="Times New Roman" w:eastAsia="MS Mincho" w:hAnsi="Times New Roman" w:cs="Times New Roman"/>
          <w:sz w:val="24"/>
          <w:szCs w:val="24"/>
        </w:rPr>
        <w:br/>
        <w:t>Series 2019-1 Fixed Rate Notes (the “</w:t>
      </w:r>
      <w:r w:rsidRPr="005B5FC9">
        <w:rPr>
          <w:rFonts w:ascii="Times New Roman" w:eastAsia="MS Mincho" w:hAnsi="Times New Roman" w:cs="Times New Roman"/>
          <w:sz w:val="24"/>
          <w:szCs w:val="24"/>
          <w:u w:val="single"/>
        </w:rPr>
        <w:t>Series 2019-1 Notes</w:t>
      </w:r>
      <w:r w:rsidRPr="005B5FC9">
        <w:rPr>
          <w:rFonts w:ascii="Times New Roman" w:eastAsia="MS Mincho" w:hAnsi="Times New Roman" w:cs="Times New Roman"/>
          <w:sz w:val="24"/>
          <w:szCs w:val="24"/>
        </w:rPr>
        <w:t>”)</w:t>
      </w:r>
    </w:p>
    <w:p w:rsidR="005B5FC9" w:rsidRPr="005B5FC9" w:rsidRDefault="005B5FC9" w:rsidP="005B5FC9">
      <w:pPr>
        <w:spacing w:after="120" w:line="240" w:lineRule="auto"/>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Ladies and Gentlemen:</w:t>
      </w:r>
    </w:p>
    <w:p w:rsidR="005B5FC9" w:rsidRPr="005B5FC9" w:rsidRDefault="005B5FC9" w:rsidP="005B5FC9">
      <w:pPr>
        <w:spacing w:after="120" w:line="240" w:lineRule="auto"/>
        <w:ind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 xml:space="preserve">Reference is hereby made to the Series 2019-1 Indenture Supplement, dated as of </w:t>
      </w:r>
      <w:r w:rsidR="00590858">
        <w:rPr>
          <w:rFonts w:ascii="Times New Roman" w:eastAsia="MS Mincho" w:hAnsi="Times New Roman" w:cs="Times New Roman"/>
          <w:sz w:val="24"/>
          <w:szCs w:val="24"/>
        </w:rPr>
        <w:t>August 8</w:t>
      </w:r>
      <w:r w:rsidRPr="005B5FC9">
        <w:rPr>
          <w:rFonts w:ascii="Times New Roman" w:eastAsia="MS Mincho" w:hAnsi="Times New Roman" w:cs="Times New Roman"/>
          <w:sz w:val="24"/>
          <w:szCs w:val="24"/>
        </w:rPr>
        <w:t>, 2019 (as amended, supplemented or otherwise modified from time to time, the "</w:t>
      </w:r>
      <w:r w:rsidRPr="005B5FC9">
        <w:rPr>
          <w:rFonts w:ascii="Times New Roman" w:eastAsia="MS Mincho" w:hAnsi="Times New Roman" w:cs="Times New Roman"/>
          <w:sz w:val="24"/>
          <w:szCs w:val="24"/>
          <w:u w:val="single"/>
        </w:rPr>
        <w:t>Indenture Supplement</w:t>
      </w:r>
      <w:r w:rsidRPr="005B5FC9">
        <w:rPr>
          <w:rFonts w:ascii="Times New Roman" w:eastAsia="MS Mincho" w:hAnsi="Times New Roman" w:cs="Times New Roman"/>
          <w:sz w:val="24"/>
          <w:szCs w:val="24"/>
        </w:rPr>
        <w:t>"), among Guayaquil Merchant Voucher Receivables Limited (the "</w:t>
      </w:r>
      <w:r w:rsidRPr="005B5FC9">
        <w:rPr>
          <w:rFonts w:ascii="Times New Roman" w:eastAsia="MS Mincho" w:hAnsi="Times New Roman" w:cs="Times New Roman"/>
          <w:sz w:val="24"/>
          <w:szCs w:val="24"/>
          <w:u w:val="single"/>
        </w:rPr>
        <w:t>SPC</w:t>
      </w:r>
      <w:r w:rsidRPr="005B5FC9">
        <w:rPr>
          <w:rFonts w:ascii="Times New Roman" w:eastAsia="MS Mincho" w:hAnsi="Times New Roman" w:cs="Times New Roman"/>
          <w:sz w:val="24"/>
          <w:szCs w:val="24"/>
        </w:rPr>
        <w:t xml:space="preserve">"), Banco Guayaquil S.A. </w:t>
      </w:r>
      <w:r w:rsidRPr="005B5FC9">
        <w:rPr>
          <w:rFonts w:ascii="Times New Roman" w:eastAsia="MS Mincho" w:hAnsi="Times New Roman" w:cs="Times New Roman"/>
          <w:sz w:val="24"/>
          <w:szCs w:val="24"/>
          <w:lang w:val="pt-BR"/>
        </w:rPr>
        <w:t xml:space="preserve">(the </w:t>
      </w:r>
      <w:r w:rsidRPr="005B5FC9">
        <w:rPr>
          <w:rFonts w:ascii="Times New Roman" w:eastAsia="MS Mincho" w:hAnsi="Times New Roman" w:cs="Times New Roman"/>
          <w:sz w:val="24"/>
          <w:szCs w:val="24"/>
        </w:rPr>
        <w:t>"</w:t>
      </w:r>
      <w:r w:rsidRPr="005B5FC9">
        <w:rPr>
          <w:rFonts w:ascii="Times New Roman" w:eastAsia="MS Mincho" w:hAnsi="Times New Roman" w:cs="Times New Roman"/>
          <w:sz w:val="24"/>
          <w:szCs w:val="24"/>
          <w:u w:val="single"/>
        </w:rPr>
        <w:t>Bank</w:t>
      </w:r>
      <w:r w:rsidRPr="005B5FC9">
        <w:rPr>
          <w:rFonts w:ascii="Times New Roman" w:eastAsia="MS Mincho" w:hAnsi="Times New Roman" w:cs="Times New Roman"/>
          <w:sz w:val="24"/>
          <w:szCs w:val="24"/>
        </w:rPr>
        <w:t>"</w:t>
      </w:r>
      <w:r w:rsidRPr="005B5FC9">
        <w:rPr>
          <w:rFonts w:ascii="Times New Roman" w:eastAsia="MS Mincho" w:hAnsi="Times New Roman" w:cs="Times New Roman"/>
          <w:sz w:val="24"/>
          <w:szCs w:val="24"/>
          <w:lang w:val="pt-BR"/>
        </w:rPr>
        <w:t>)</w:t>
      </w:r>
      <w:r w:rsidRPr="005B5FC9">
        <w:rPr>
          <w:rFonts w:ascii="Times New Roman" w:eastAsia="MS Mincho" w:hAnsi="Times New Roman" w:cs="Times New Roman"/>
          <w:sz w:val="24"/>
          <w:szCs w:val="24"/>
        </w:rPr>
        <w:t xml:space="preserve"> and Citibank, N.A., as the Collateral Agent (in such capacity, the "</w:t>
      </w:r>
      <w:r w:rsidRPr="005B5FC9">
        <w:rPr>
          <w:rFonts w:ascii="Times New Roman" w:eastAsia="MS Mincho" w:hAnsi="Times New Roman" w:cs="Times New Roman"/>
          <w:sz w:val="24"/>
          <w:szCs w:val="24"/>
          <w:u w:val="single"/>
        </w:rPr>
        <w:t>Collateral Agent</w:t>
      </w:r>
      <w:r w:rsidRPr="005B5FC9">
        <w:rPr>
          <w:rFonts w:ascii="Times New Roman" w:eastAsia="MS Mincho" w:hAnsi="Times New Roman" w:cs="Times New Roman"/>
          <w:sz w:val="24"/>
          <w:szCs w:val="24"/>
        </w:rPr>
        <w:t>") and as the Indenture Trustee (in such capacity, the “</w:t>
      </w:r>
      <w:r w:rsidRPr="005B5FC9">
        <w:rPr>
          <w:rFonts w:ascii="Times New Roman" w:eastAsia="MS Mincho" w:hAnsi="Times New Roman" w:cs="Times New Roman"/>
          <w:sz w:val="24"/>
          <w:szCs w:val="24"/>
          <w:u w:val="single"/>
        </w:rPr>
        <w:t>Indenture Trustee</w:t>
      </w:r>
      <w:r w:rsidRPr="005B5FC9">
        <w:rPr>
          <w:rFonts w:ascii="Times New Roman" w:eastAsia="MS Mincho" w:hAnsi="Times New Roman" w:cs="Times New Roman"/>
          <w:sz w:val="24"/>
          <w:szCs w:val="24"/>
        </w:rPr>
        <w:t>”).  Capitalized terms used but not defined herein shall have the meanings given to them in the Indenture Supplement.</w:t>
      </w:r>
    </w:p>
    <w:p w:rsidR="005B5FC9" w:rsidRPr="005B5FC9" w:rsidRDefault="005B5FC9" w:rsidP="005B5FC9">
      <w:pPr>
        <w:spacing w:after="120" w:line="240" w:lineRule="auto"/>
        <w:ind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 xml:space="preserve">This </w:t>
      </w:r>
      <w:r w:rsidRPr="005B5FC9">
        <w:rPr>
          <w:rFonts w:ascii="Times New Roman" w:eastAsia="MS Mincho" w:hAnsi="Times New Roman" w:cs="Times New Roman"/>
          <w:sz w:val="24"/>
          <w:szCs w:val="24"/>
          <w:lang w:val="pt-BR"/>
        </w:rPr>
        <w:t>Transferor</w:t>
      </w:r>
      <w:r w:rsidRPr="005B5FC9">
        <w:rPr>
          <w:rFonts w:ascii="Times New Roman" w:eastAsia="MS Mincho" w:hAnsi="Times New Roman" w:cs="Times New Roman"/>
          <w:sz w:val="24"/>
          <w:szCs w:val="24"/>
        </w:rPr>
        <w:t xml:space="preserve"> Certificate relates to ____________________'s (the "</w:t>
      </w:r>
      <w:r w:rsidRPr="005B5FC9">
        <w:rPr>
          <w:rFonts w:ascii="Times New Roman" w:eastAsia="MS Mincho" w:hAnsi="Times New Roman" w:cs="Times New Roman"/>
          <w:sz w:val="24"/>
          <w:szCs w:val="24"/>
          <w:u w:val="single"/>
        </w:rPr>
        <w:t>Transferor</w:t>
      </w:r>
      <w:r w:rsidRPr="005B5FC9">
        <w:rPr>
          <w:rFonts w:ascii="Times New Roman" w:eastAsia="MS Mincho" w:hAnsi="Times New Roman" w:cs="Times New Roman"/>
          <w:sz w:val="24"/>
          <w:szCs w:val="24"/>
        </w:rPr>
        <w:t>") transfer of US$__________ of the Series 2019-1 Notes to _________________________ (the "</w:t>
      </w:r>
      <w:r w:rsidRPr="005B5FC9">
        <w:rPr>
          <w:rFonts w:ascii="Times New Roman" w:eastAsia="MS Mincho" w:hAnsi="Times New Roman" w:cs="Times New Roman"/>
          <w:sz w:val="24"/>
          <w:szCs w:val="24"/>
          <w:u w:val="single"/>
        </w:rPr>
        <w:t>Transferee</w:t>
      </w:r>
      <w:r w:rsidRPr="005B5FC9">
        <w:rPr>
          <w:rFonts w:ascii="Times New Roman" w:eastAsia="MS Mincho" w:hAnsi="Times New Roman" w:cs="Times New Roman"/>
          <w:sz w:val="24"/>
          <w:szCs w:val="24"/>
        </w:rPr>
        <w:t xml:space="preserve">").  The Transferor hereby certifies to, and agrees with, the SPC, the Collateral Agent and the Indenture Trustee that the transfer by the Transferor to the Transferee complies with Section 2.3 of the Indenture Supplement.  </w:t>
      </w:r>
    </w:p>
    <w:p w:rsidR="005B5FC9" w:rsidRPr="005B5FC9" w:rsidRDefault="005B5FC9" w:rsidP="005B5FC9">
      <w:pPr>
        <w:spacing w:after="240" w:line="240" w:lineRule="auto"/>
        <w:ind w:firstLine="7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This certificate and the statements contained herein are made for your benefit and for the benefit of the SPC, the Collateral Agent, the Indenture Trustee and the Bank.</w:t>
      </w:r>
    </w:p>
    <w:p w:rsidR="005B5FC9" w:rsidRPr="005B5FC9" w:rsidRDefault="005B5FC9" w:rsidP="005B5FC9">
      <w:pPr>
        <w:tabs>
          <w:tab w:val="right" w:leader="underscore" w:pos="9360"/>
        </w:tabs>
        <w:spacing w:after="0" w:line="240" w:lineRule="auto"/>
        <w:ind w:left="43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[Insert name of certifying person or institution]</w:t>
      </w:r>
    </w:p>
    <w:p w:rsidR="005B5FC9" w:rsidRPr="005B5FC9" w:rsidRDefault="005B5FC9" w:rsidP="005B5FC9">
      <w:pPr>
        <w:tabs>
          <w:tab w:val="right" w:leader="underscore" w:pos="9360"/>
        </w:tabs>
        <w:spacing w:after="0" w:line="240" w:lineRule="auto"/>
        <w:ind w:left="4320"/>
        <w:jc w:val="both"/>
        <w:rPr>
          <w:rFonts w:ascii="Times New Roman" w:eastAsia="MS Mincho" w:hAnsi="Times New Roman" w:cs="Times New Roman"/>
          <w:sz w:val="24"/>
          <w:szCs w:val="24"/>
        </w:rPr>
      </w:pPr>
    </w:p>
    <w:p w:rsidR="005B5FC9" w:rsidRPr="005B5FC9" w:rsidRDefault="005B5FC9" w:rsidP="005B5FC9">
      <w:pPr>
        <w:tabs>
          <w:tab w:val="right" w:leader="underscore" w:pos="9360"/>
        </w:tabs>
        <w:spacing w:after="0" w:line="240" w:lineRule="auto"/>
        <w:ind w:left="4320"/>
        <w:jc w:val="both"/>
        <w:rPr>
          <w:rFonts w:ascii="Times New Roman" w:eastAsia="MS Mincho" w:hAnsi="Times New Roman" w:cs="Times New Roman"/>
          <w:sz w:val="24"/>
          <w:szCs w:val="24"/>
        </w:rPr>
      </w:pPr>
    </w:p>
    <w:p w:rsidR="005B5FC9" w:rsidRPr="005B5FC9" w:rsidRDefault="005B5FC9" w:rsidP="005B5FC9">
      <w:pPr>
        <w:tabs>
          <w:tab w:val="right" w:leader="underscore" w:pos="9360"/>
        </w:tabs>
        <w:spacing w:after="0" w:line="240" w:lineRule="auto"/>
        <w:ind w:left="43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By:</w:t>
      </w:r>
      <w:r w:rsidRPr="005B5FC9">
        <w:rPr>
          <w:rFonts w:ascii="Times New Roman" w:eastAsia="MS Mincho" w:hAnsi="Times New Roman" w:cs="Times New Roman"/>
          <w:sz w:val="24"/>
          <w:szCs w:val="24"/>
        </w:rPr>
        <w:tab/>
      </w:r>
    </w:p>
    <w:p w:rsidR="005B5FC9" w:rsidRPr="005B5FC9" w:rsidRDefault="005B5FC9" w:rsidP="005B5FC9">
      <w:pPr>
        <w:tabs>
          <w:tab w:val="right" w:leader="underscore" w:pos="9360"/>
        </w:tabs>
        <w:spacing w:after="0" w:line="240" w:lineRule="auto"/>
        <w:ind w:left="43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Name:</w:t>
      </w:r>
      <w:r w:rsidRPr="005B5FC9">
        <w:rPr>
          <w:rFonts w:ascii="Times New Roman" w:eastAsia="MS Mincho" w:hAnsi="Times New Roman" w:cs="Times New Roman"/>
          <w:sz w:val="24"/>
          <w:szCs w:val="24"/>
        </w:rPr>
        <w:tab/>
      </w:r>
    </w:p>
    <w:p w:rsidR="005B5FC9" w:rsidRPr="005B5FC9" w:rsidRDefault="005B5FC9" w:rsidP="005B5FC9">
      <w:pPr>
        <w:tabs>
          <w:tab w:val="right" w:leader="underscore" w:pos="9360"/>
        </w:tabs>
        <w:spacing w:after="0" w:line="240" w:lineRule="auto"/>
        <w:ind w:left="43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Title:</w:t>
      </w:r>
      <w:r w:rsidRPr="005B5FC9">
        <w:rPr>
          <w:rFonts w:ascii="Times New Roman" w:eastAsia="MS Mincho" w:hAnsi="Times New Roman" w:cs="Times New Roman"/>
          <w:sz w:val="24"/>
          <w:szCs w:val="24"/>
        </w:rPr>
        <w:tab/>
      </w:r>
    </w:p>
    <w:p w:rsidR="005B5FC9" w:rsidRPr="005B5FC9" w:rsidRDefault="005B5FC9" w:rsidP="005B5FC9">
      <w:pPr>
        <w:tabs>
          <w:tab w:val="right" w:leader="underscore" w:pos="9360"/>
        </w:tabs>
        <w:spacing w:after="0" w:line="240" w:lineRule="auto"/>
        <w:ind w:left="4320"/>
        <w:jc w:val="both"/>
        <w:rPr>
          <w:rFonts w:ascii="Times New Roman" w:eastAsia="MS Mincho" w:hAnsi="Times New Roman" w:cs="Times New Roman"/>
          <w:sz w:val="24"/>
          <w:szCs w:val="24"/>
        </w:rPr>
      </w:pPr>
    </w:p>
    <w:p w:rsidR="005B5FC9" w:rsidRPr="005B5FC9" w:rsidRDefault="005B5FC9" w:rsidP="005B5FC9">
      <w:pPr>
        <w:tabs>
          <w:tab w:val="right" w:leader="underscore" w:pos="9360"/>
        </w:tabs>
        <w:spacing w:after="0" w:line="240" w:lineRule="auto"/>
        <w:ind w:left="4320"/>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[To be medallion stamped.]</w:t>
      </w:r>
    </w:p>
    <w:p w:rsidR="005B5FC9" w:rsidRPr="005B5FC9" w:rsidRDefault="005B5FC9" w:rsidP="005B5FC9">
      <w:pPr>
        <w:tabs>
          <w:tab w:val="right" w:leader="underscore" w:pos="9360"/>
        </w:tabs>
        <w:spacing w:after="0" w:line="240" w:lineRule="auto"/>
        <w:ind w:left="4320"/>
        <w:jc w:val="both"/>
        <w:rPr>
          <w:rFonts w:ascii="Times New Roman" w:eastAsia="MS Mincho" w:hAnsi="Times New Roman" w:cs="Times New Roman"/>
          <w:sz w:val="24"/>
          <w:szCs w:val="24"/>
        </w:rPr>
      </w:pPr>
    </w:p>
    <w:p w:rsidR="005B5FC9" w:rsidRPr="005B5FC9" w:rsidRDefault="005B5FC9" w:rsidP="005B5FC9">
      <w:pPr>
        <w:spacing w:after="240" w:line="240" w:lineRule="auto"/>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Dated: ___________</w:t>
      </w:r>
    </w:p>
    <w:p w:rsidR="005B5FC9" w:rsidRPr="005B5FC9" w:rsidRDefault="005B5FC9" w:rsidP="005B5FC9">
      <w:pPr>
        <w:spacing w:after="0" w:line="240" w:lineRule="auto"/>
        <w:jc w:val="both"/>
        <w:rPr>
          <w:rFonts w:ascii="Times New Roman" w:eastAsia="MS Mincho" w:hAnsi="Times New Roman" w:cs="Times New Roman"/>
          <w:sz w:val="24"/>
          <w:szCs w:val="24"/>
        </w:rPr>
      </w:pPr>
      <w:r w:rsidRPr="005B5FC9">
        <w:rPr>
          <w:rFonts w:ascii="Times New Roman" w:eastAsia="MS Mincho" w:hAnsi="Times New Roman" w:cs="Times New Roman"/>
          <w:sz w:val="24"/>
          <w:szCs w:val="24"/>
        </w:rPr>
        <w:t>cc:</w:t>
      </w:r>
      <w:r w:rsidRPr="005B5FC9">
        <w:rPr>
          <w:rFonts w:ascii="Times New Roman" w:eastAsia="MS Mincho" w:hAnsi="Times New Roman" w:cs="Times New Roman"/>
          <w:sz w:val="24"/>
          <w:szCs w:val="24"/>
        </w:rPr>
        <w:tab/>
        <w:t>Guayaquil Merchant Voucher Receivables Limited</w:t>
      </w:r>
    </w:p>
    <w:p w:rsidR="005B5FC9" w:rsidRPr="005B5FC9" w:rsidRDefault="005B5FC9" w:rsidP="005B5FC9">
      <w:pPr>
        <w:spacing w:after="0" w:line="240" w:lineRule="auto"/>
        <w:jc w:val="both"/>
        <w:rPr>
          <w:rFonts w:ascii="Times New Roman" w:eastAsia="MS Mincho" w:hAnsi="Times New Roman" w:cs="Times New Roman"/>
          <w:sz w:val="24"/>
          <w:szCs w:val="24"/>
          <w:lang w:val="es-MX"/>
        </w:rPr>
      </w:pPr>
      <w:r w:rsidRPr="005B5FC9">
        <w:rPr>
          <w:rFonts w:ascii="Times New Roman" w:eastAsia="MS Mincho" w:hAnsi="Times New Roman" w:cs="Times New Roman"/>
          <w:sz w:val="24"/>
          <w:szCs w:val="24"/>
        </w:rPr>
        <w:tab/>
      </w:r>
      <w:r w:rsidRPr="005B5FC9">
        <w:rPr>
          <w:rFonts w:ascii="Times New Roman" w:eastAsia="MS Mincho" w:hAnsi="Times New Roman" w:cs="Times New Roman"/>
          <w:sz w:val="24"/>
          <w:szCs w:val="24"/>
          <w:lang w:val="es-MX"/>
        </w:rPr>
        <w:t>Banco Guayaquil S.A.</w:t>
      </w:r>
    </w:p>
    <w:p w:rsidR="00A07681" w:rsidRDefault="00A07681"/>
    <w:sectPr w:rsidR="00A07681">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E3490">
      <w:pPr>
        <w:spacing w:after="0" w:line="240" w:lineRule="auto"/>
      </w:pPr>
      <w:r>
        <w:separator/>
      </w:r>
    </w:p>
  </w:endnote>
  <w:endnote w:type="continuationSeparator" w:id="0">
    <w:p w:rsidR="00000000" w:rsidRDefault="001E3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04" w:rsidRDefault="005B5FC9">
    <w:pPr>
      <w:pStyle w:val="Footer1"/>
      <w:jc w:val="right"/>
      <w:rPr>
        <w:i/>
      </w:rPr>
    </w:pPr>
    <w:r>
      <w:tab/>
      <w:t>Ex. B-</w:t>
    </w:r>
    <w:r>
      <w:fldChar w:fldCharType="begin"/>
    </w:r>
    <w:r>
      <w:instrText xml:space="preserve"> PAGE   \* MERGEFORMAT </w:instrText>
    </w:r>
    <w:r>
      <w:fldChar w:fldCharType="separate"/>
    </w:r>
    <w:r w:rsidR="001E3490">
      <w:rPr>
        <w:noProof/>
      </w:rPr>
      <w:t>4</w:t>
    </w:r>
    <w:r>
      <w:fldChar w:fldCharType="end"/>
    </w:r>
    <w:r>
      <w:tab/>
    </w:r>
    <w:r>
      <w:rPr>
        <w:i/>
      </w:rPr>
      <w:t>Series 2019-1</w:t>
    </w:r>
    <w:r>
      <w:rPr>
        <w:i/>
      </w:rPr>
      <w:br/>
      <w:t>Indenture Supplement</w:t>
    </w:r>
  </w:p>
  <w:p w:rsidR="007E7304" w:rsidRDefault="001E3490">
    <w:pPr>
      <w:pStyle w:val="FooterInfo"/>
    </w:pPr>
    <w:r>
      <w:rPr>
        <w:sz w:val="12"/>
      </w:rPr>
      <w:t xml:space="preserve"> </w:t>
    </w:r>
    <w:r w:rsidR="005B5FC9" w:rsidRPr="00741130">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04" w:rsidRDefault="005B5FC9">
    <w:pPr>
      <w:pStyle w:val="Footer1"/>
      <w:jc w:val="right"/>
      <w:rPr>
        <w:i/>
      </w:rPr>
    </w:pPr>
    <w:r>
      <w:tab/>
      <w:t>Ex. B-</w:t>
    </w:r>
    <w:r>
      <w:fldChar w:fldCharType="begin"/>
    </w:r>
    <w:r>
      <w:instrText xml:space="preserve"> PAGE   \* MERGEFORMAT </w:instrText>
    </w:r>
    <w:r>
      <w:fldChar w:fldCharType="separate"/>
    </w:r>
    <w:r w:rsidR="001E3490">
      <w:rPr>
        <w:noProof/>
      </w:rPr>
      <w:t>1</w:t>
    </w:r>
    <w:r>
      <w:fldChar w:fldCharType="end"/>
    </w:r>
    <w:r>
      <w:tab/>
    </w:r>
    <w:r>
      <w:rPr>
        <w:i/>
      </w:rPr>
      <w:t>Series 2019-1</w:t>
    </w:r>
    <w:r>
      <w:rPr>
        <w:i/>
      </w:rPr>
      <w:br/>
      <w:t>Indenture Supplement</w:t>
    </w:r>
  </w:p>
  <w:p w:rsidR="007E7304" w:rsidRDefault="001E3490">
    <w:pPr>
      <w:pStyle w:val="FooterInfo"/>
    </w:pPr>
    <w:r>
      <w:t xml:space="preserve"> </w:t>
    </w:r>
    <w:r w:rsidR="005B5FC9" w:rsidRPr="0074113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04" w:rsidRDefault="00590858">
    <w:pPr>
      <w:pStyle w:val="FooterInfo"/>
    </w:pPr>
    <w:r>
      <w:rPr>
        <w:i/>
      </w:rPr>
      <w:t xml:space="preserve"> </w:t>
    </w:r>
    <w:r w:rsidR="005B5FC9" w:rsidRPr="00741130">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04" w:rsidRDefault="005B5FC9">
    <w:pPr>
      <w:pStyle w:val="Footer1"/>
      <w:rPr>
        <w:i/>
      </w:rPr>
    </w:pPr>
    <w:r>
      <w:tab/>
    </w:r>
    <w:r>
      <w:tab/>
    </w:r>
    <w:r>
      <w:rPr>
        <w:i/>
      </w:rPr>
      <w:t>Series 2012-A Loans Supplement</w:t>
    </w:r>
    <w:r>
      <w:t xml:space="preserve"> </w:t>
    </w:r>
    <w:r>
      <w:rPr>
        <w:i/>
      </w:rPr>
      <w:t>C-</w:t>
    </w:r>
    <w:r>
      <w:rPr>
        <w:rStyle w:val="PageNumber"/>
        <w:i/>
      </w:rPr>
      <w:fldChar w:fldCharType="begin"/>
    </w:r>
    <w:r>
      <w:rPr>
        <w:rStyle w:val="PageNumber"/>
        <w:i/>
      </w:rPr>
      <w:instrText xml:space="preserve"> PAGE </w:instrText>
    </w:r>
    <w:r>
      <w:rPr>
        <w:rStyle w:val="PageNumber"/>
        <w:i/>
      </w:rPr>
      <w:fldChar w:fldCharType="separate"/>
    </w:r>
    <w:r>
      <w:rPr>
        <w:rStyle w:val="PageNumber"/>
        <w:i/>
        <w:noProof/>
      </w:rPr>
      <w:t>1</w:t>
    </w:r>
    <w:r>
      <w:rPr>
        <w:rStyle w:val="PageNumber"/>
        <w:i/>
      </w:rPr>
      <w:fldChar w:fldCharType="end"/>
    </w:r>
  </w:p>
  <w:p w:rsidR="007E7304" w:rsidRDefault="005B5FC9">
    <w:pPr>
      <w:pStyle w:val="FooterInfo"/>
    </w:pPr>
    <w:r>
      <w:t xml:space="preserve"> </w:t>
    </w:r>
  </w:p>
  <w:p w:rsidR="007E7304" w:rsidRDefault="005B5FC9">
    <w:pPr>
      <w:pStyle w:val="FooterInfo"/>
      <w:jc w:val="left"/>
    </w:pPr>
    <w:r>
      <w:fldChar w:fldCharType="begin"/>
    </w:r>
    <w:r w:rsidRPr="00741130">
      <w:rPr>
        <w:sz w:val="12"/>
      </w:rPr>
      <w:instrText xml:space="preserve"> MACROBUTTON DocID \\NY - 759711/000001 - 9849518 v4 </w:instrText>
    </w:r>
    <w:r>
      <w:fldChar w:fldCharType="end"/>
    </w:r>
    <w:r w:rsidRPr="0074113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E3490">
      <w:pPr>
        <w:spacing w:after="0" w:line="240" w:lineRule="auto"/>
      </w:pPr>
      <w:r>
        <w:separator/>
      </w:r>
    </w:p>
  </w:footnote>
  <w:footnote w:type="continuationSeparator" w:id="0">
    <w:p w:rsidR="00000000" w:rsidRDefault="001E3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04" w:rsidRDefault="005B5FC9">
    <w:pPr>
      <w:pStyle w:val="Header1"/>
      <w:jc w:val="right"/>
      <w:rPr>
        <w:b/>
      </w:rPr>
    </w:pPr>
    <w:r>
      <w:rPr>
        <w:b/>
      </w:rPr>
      <w:t>EXHIBIT B</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04" w:rsidRDefault="005B5FC9">
    <w:pPr>
      <w:pStyle w:val="Header1"/>
      <w:jc w:val="right"/>
    </w:pPr>
    <w:r>
      <w:rPr>
        <w:b/>
        <w:bCs/>
      </w:rPr>
      <w:t>EXHIBIT C</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04" w:rsidRDefault="001E3490">
    <w:pPr>
      <w:pStyle w:val="Header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C9"/>
    <w:rsid w:val="001E3490"/>
    <w:rsid w:val="00590858"/>
    <w:rsid w:val="005B5FC9"/>
    <w:rsid w:val="00A0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C0306"/>
  <w15:chartTrackingRefBased/>
  <w15:docId w15:val="{B856BF72-0D6F-4D43-9488-86C6F231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rsid w:val="005B5FC9"/>
    <w:pPr>
      <w:tabs>
        <w:tab w:val="center" w:pos="4680"/>
        <w:tab w:val="right" w:pos="9360"/>
      </w:tabs>
      <w:spacing w:after="0" w:line="240" w:lineRule="auto"/>
      <w:jc w:val="both"/>
    </w:pPr>
    <w:rPr>
      <w:sz w:val="24"/>
      <w:szCs w:val="24"/>
    </w:rPr>
  </w:style>
  <w:style w:type="character" w:customStyle="1" w:styleId="FooterChar">
    <w:name w:val="Footer Char"/>
    <w:basedOn w:val="DefaultParagraphFont"/>
    <w:link w:val="Footer1"/>
    <w:rsid w:val="005B5FC9"/>
    <w:rPr>
      <w:sz w:val="24"/>
      <w:szCs w:val="24"/>
    </w:rPr>
  </w:style>
  <w:style w:type="paragraph" w:customStyle="1" w:styleId="Header1">
    <w:name w:val="Header1"/>
    <w:basedOn w:val="Normal"/>
    <w:next w:val="Header"/>
    <w:link w:val="HeaderChar"/>
    <w:rsid w:val="005B5FC9"/>
    <w:pPr>
      <w:tabs>
        <w:tab w:val="center" w:pos="4680"/>
        <w:tab w:val="right" w:pos="9360"/>
      </w:tabs>
      <w:spacing w:after="0" w:line="240" w:lineRule="auto"/>
      <w:jc w:val="both"/>
    </w:pPr>
    <w:rPr>
      <w:sz w:val="24"/>
      <w:szCs w:val="24"/>
    </w:rPr>
  </w:style>
  <w:style w:type="character" w:customStyle="1" w:styleId="HeaderChar">
    <w:name w:val="Header Char"/>
    <w:basedOn w:val="DefaultParagraphFont"/>
    <w:link w:val="Header1"/>
    <w:rsid w:val="005B5FC9"/>
    <w:rPr>
      <w:sz w:val="24"/>
      <w:szCs w:val="24"/>
    </w:rPr>
  </w:style>
  <w:style w:type="character" w:styleId="PageNumber">
    <w:name w:val="page number"/>
    <w:basedOn w:val="DefaultParagraphFont"/>
    <w:rsid w:val="005B5FC9"/>
  </w:style>
  <w:style w:type="paragraph" w:customStyle="1" w:styleId="FooterInfo">
    <w:name w:val="FooterInfo"/>
    <w:basedOn w:val="Normal"/>
    <w:next w:val="Footer"/>
    <w:link w:val="FooterInfoChar"/>
    <w:rsid w:val="005B5FC9"/>
    <w:pPr>
      <w:tabs>
        <w:tab w:val="center" w:pos="4680"/>
        <w:tab w:val="right" w:pos="9360"/>
      </w:tabs>
      <w:spacing w:after="0" w:line="240" w:lineRule="auto"/>
      <w:jc w:val="both"/>
    </w:pPr>
    <w:rPr>
      <w:rFonts w:ascii="Times New Roman" w:eastAsia="MS Mincho" w:hAnsi="Times New Roman" w:cs="Times New Roman"/>
      <w:sz w:val="24"/>
      <w:szCs w:val="24"/>
    </w:rPr>
  </w:style>
  <w:style w:type="character" w:customStyle="1" w:styleId="FooterInfoChar">
    <w:name w:val="FooterInfo Char"/>
    <w:link w:val="FooterInfo"/>
    <w:rsid w:val="005B5FC9"/>
    <w:rPr>
      <w:rFonts w:ascii="Times New Roman" w:eastAsia="MS Mincho" w:hAnsi="Times New Roman" w:cs="Times New Roman"/>
      <w:sz w:val="24"/>
      <w:szCs w:val="24"/>
    </w:rPr>
  </w:style>
  <w:style w:type="paragraph" w:styleId="Footer">
    <w:name w:val="footer"/>
    <w:basedOn w:val="Normal"/>
    <w:link w:val="FooterChar1"/>
    <w:uiPriority w:val="99"/>
    <w:unhideWhenUsed/>
    <w:rsid w:val="005B5FC9"/>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5B5FC9"/>
  </w:style>
  <w:style w:type="paragraph" w:styleId="Header">
    <w:name w:val="header"/>
    <w:basedOn w:val="Normal"/>
    <w:link w:val="HeaderChar1"/>
    <w:uiPriority w:val="99"/>
    <w:unhideWhenUsed/>
    <w:rsid w:val="005B5FC9"/>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5B5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DOCUMENTGUID%">{00000000-0000-0000-0000-000000000000}</XMLData>
</file>

<file path=customXml/item2.xml><?xml version="1.0" encoding="utf-8"?>
<XMLData TextToDisplay="%CLASSIFICATIONDATETIME%">13:57 23/06/2020</XMLData>
</file>

<file path=customXml/item3.xml><?xml version="1.0" encoding="utf-8"?>
<XMLData TextToDisplay="RightsWATCHMark">7|CITI-No PII-Public|{00000000-0000-0000-0000-000000000000}</XMLData>
</file>

<file path=customXml/item4.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80B34-9EE7-41E6-8C15-481AB92103E2}">
  <ds:schemaRefs/>
</ds:datastoreItem>
</file>

<file path=customXml/itemProps2.xml><?xml version="1.0" encoding="utf-8"?>
<ds:datastoreItem xmlns:ds="http://schemas.openxmlformats.org/officeDocument/2006/customXml" ds:itemID="{4A0BCA5F-FD92-4E9F-BBBF-4F630B77B471}">
  <ds:schemaRefs/>
</ds:datastoreItem>
</file>

<file path=customXml/itemProps3.xml><?xml version="1.0" encoding="utf-8"?>
<ds:datastoreItem xmlns:ds="http://schemas.openxmlformats.org/officeDocument/2006/customXml" ds:itemID="{72938BFA-CCA4-4952-BF30-A69E9BEAEF7F}">
  <ds:schemaRefs/>
</ds:datastoreItem>
</file>

<file path=customXml/itemProps4.xml><?xml version="1.0" encoding="utf-8"?>
<ds:datastoreItem xmlns:ds="http://schemas.openxmlformats.org/officeDocument/2006/customXml" ds:itemID="{08DAD453-77B2-4F90-9322-115E24360031}"/>
</file>

<file path=customXml/itemProps5.xml><?xml version="1.0" encoding="utf-8"?>
<ds:datastoreItem xmlns:ds="http://schemas.openxmlformats.org/officeDocument/2006/customXml" ds:itemID="{F60D9A15-05AE-4B1B-A047-258E09D2C465}"/>
</file>

<file path=customXml/itemProps6.xml><?xml version="1.0" encoding="utf-8"?>
<ds:datastoreItem xmlns:ds="http://schemas.openxmlformats.org/officeDocument/2006/customXml" ds:itemID="{DD25978F-AC29-4FD7-BDFC-D95FA69D98EE}"/>
</file>

<file path=docProps/app.xml><?xml version="1.0" encoding="utf-8"?>
<Properties xmlns="http://schemas.openxmlformats.org/officeDocument/2006/extended-properties" xmlns:vt="http://schemas.openxmlformats.org/officeDocument/2006/docPropsVTypes">
  <Template>Normal.dotm</Template>
  <TotalTime>6</TotalTime>
  <Pages>5</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Piscitelli, Louis A [ICG-BCMA]</dc:creator>
  <cp:keywords/>
  <dc:description/>
  <cp:lastModifiedBy>Piscitelli, Louis A [ICG-BCMA]</cp:lastModifiedBy>
  <cp:revision>3</cp:revision>
  <dcterms:created xsi:type="dcterms:W3CDTF">2020-06-23T13:46:00Z</dcterms:created>
  <dcterms:modified xsi:type="dcterms:W3CDTF">2020-06-23T13:57:00Z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7|CITI-No PII-Public|{00000000-0000-0000-0000-000000000000}</vt:lpwstr>
  </property>
  <property fmtid="{D5CDD505-2E9C-101B-9397-08002B2CF9AE}" pid="3" name="ContentTypeId">
    <vt:lpwstr>0x0101001CA03002C6699040BD96EE92B0A0661E</vt:lpwstr>
  </property>
</Properties>
</file>