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6 -->
  <w:body>
    <w:p>
      <w:pPr>
        <w:pStyle w:val="Title"/>
        <w:spacing w:after="0"/>
      </w:pPr>
      <w:r>
        <w:t>EXHIBIT A-1</w:t>
      </w:r>
      <w:r>
        <w:br/>
      </w:r>
      <w:r>
        <w:br/>
        <w:t xml:space="preserve">FORM OF CLASS A RULE 144A GLOBAL NOTE </w:t>
      </w:r>
      <w:r>
        <w:br/>
      </w:r>
      <w:r>
        <w:br/>
        <w:t xml:space="preserve">CSMC </w:t>
      </w:r>
      <w:r>
        <w:rPr>
          <w:lang w:bidi="en-US"/>
        </w:rPr>
        <w:t>2022-ATH1</w:t>
      </w:r>
      <w:r>
        <w:t xml:space="preserve"> TRUST</w:t>
      </w:r>
      <w:r>
        <w:br/>
        <w:t xml:space="preserve">MORTGAGE-BACKED NOTES, SERIES </w:t>
      </w:r>
      <w:r>
        <w:rPr>
          <w:lang w:bidi="en-US"/>
        </w:rPr>
        <w:t>2022-ATH1</w:t>
      </w:r>
    </w:p>
    <w:p>
      <w:pPr>
        <w:pStyle w:val="Title"/>
        <w:spacing w:after="0"/>
      </w:pPr>
      <w:r>
        <w:t>CLASS [A-1A][A-1B][A-1][A-2][A-3] NOTES</w:t>
      </w:r>
    </w:p>
    <w:p>
      <w:pPr>
        <w:pStyle w:val="Title"/>
        <w:spacing w:after="0"/>
      </w:pPr>
      <w:r>
        <w:br/>
      </w:r>
    </w:p>
    <w:p>
      <w:pPr>
        <w:sectPr>
          <w:footerReference w:type="even" r:id="rId6"/>
          <w:footerReference w:type="default" r:id="rId7"/>
          <w:headerReference w:type="first" r:id="rId8"/>
          <w:footerReference w:type="first" r:id="rId9"/>
          <w:pgSz w:w="12240" w:h="15840" w:code="1"/>
          <w:pgMar w:top="1440" w:right="1440" w:bottom="1440" w:left="1440" w:header="720" w:footer="720" w:gutter="0"/>
          <w:paperSrc w:first="15" w:other="15"/>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bookmarkStart w:id="3" w:name="_GoBack"/>
      <w:bookmarkEnd w:id="3"/>
    </w:p>
    <w:p/>
    <w:p/>
    <w:p>
      <w:r>
        <w:rPr>
          <w:u w:val="single"/>
        </w:rPr>
        <w:t>Note No.</w:t>
      </w:r>
      <w:r>
        <w:t>: [●]</w:t>
      </w:r>
    </w:p>
    <w:p/>
    <w:p>
      <w:r>
        <w:rPr>
          <w:u w:val="single"/>
        </w:rPr>
        <w:t>Initial Note Amount</w:t>
      </w:r>
      <w:r>
        <w:t>: $[●]</w:t>
      </w:r>
    </w:p>
    <w:p>
      <w:pPr>
        <w:rPr>
          <w:u w:val="single"/>
        </w:rPr>
      </w:pPr>
    </w:p>
    <w:p>
      <w:pPr>
        <w:rPr>
          <w:u w:val="single"/>
        </w:rPr>
      </w:pPr>
      <w:r>
        <w:rPr>
          <w:u w:val="single"/>
        </w:rPr>
        <w:t>Denomination of this Note</w:t>
      </w:r>
      <w:r>
        <w:t>: $[●]</w:t>
      </w:r>
    </w:p>
    <w:p>
      <w:pPr>
        <w:rPr>
          <w:u w:val="single"/>
        </w:rPr>
      </w:pPr>
    </w:p>
    <w:p>
      <w:r>
        <w:rPr>
          <w:u w:val="single"/>
        </w:rPr>
        <w:t>Final Scheduled Payment Date</w:t>
      </w:r>
      <w:r>
        <w:t>: Payment Date in January 2067</w:t>
      </w:r>
    </w:p>
    <w:p/>
    <w:p>
      <w:r>
        <w:rPr>
          <w:u w:val="single"/>
        </w:rPr>
        <w:t>CUSIP</w:t>
      </w:r>
      <w:r>
        <w:t>:  [●]</w:t>
      </w:r>
    </w:p>
    <w:p/>
    <w:p>
      <w:r>
        <w:rPr>
          <w:u w:val="single"/>
        </w:rPr>
        <w:t>Issuer</w:t>
      </w:r>
      <w:r>
        <w:t>:  CSMC 2022-ATH1 Trust</w:t>
      </w:r>
    </w:p>
    <w:p>
      <w:pPr>
        <w:sectPr>
          <w:type w:val="continuous"/>
          <w:pgSz w:w="12240" w:h="15840" w:code="1"/>
          <w:pgMar w:top="1440" w:right="1440" w:bottom="1440" w:left="1440" w:header="720" w:footer="720" w:gutter="0"/>
          <w:paperSrc w:first="15" w:other="15"/>
          <w:cols w:num="2" w:space="720"/>
          <w:titlePg/>
          <w:docGrid w:linePitch="360"/>
        </w:sectPr>
      </w:pPr>
    </w:p>
    <w:p>
      <w:pPr>
        <w:rPr>
          <w:b/>
        </w:rPr>
      </w:pPr>
      <w:r>
        <w:rPr>
          <w:b/>
        </w:rPr>
        <w:br w:type="page"/>
      </w:r>
    </w:p>
    <w:p>
      <w:pPr>
        <w:pStyle w:val="BodyText"/>
        <w:jc w:val="both"/>
        <w:rPr>
          <w:b/>
        </w:rPr>
      </w:pPr>
      <w:r>
        <w:rPr>
          <w:b/>
        </w:rPr>
        <w:t>UNLESS THIS NOTE IS PRESENTED BY AN AUTHORIZED REPRESENTATIVE OF THE DEPOSITORY TRUST COMPANY, A NEW YORK CORPORATION (“</w:t>
      </w:r>
      <w:r>
        <w:rPr>
          <w:b/>
          <w:u w:val="single"/>
        </w:rPr>
        <w:t>DTC</w:t>
      </w:r>
      <w:r>
        <w:rPr>
          <w:b/>
        </w:rPr>
        <w:t>”),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w:t>
      </w:r>
      <w:r>
        <w:rPr>
          <w:b/>
          <w:u w:val="single"/>
        </w:rPr>
        <w:t>SECURITIES ACT</w:t>
      </w:r>
      <w:r>
        <w:rPr>
          <w:b/>
        </w:rPr>
        <w:t>”), OR THE SECURITIES LAWS OF ANY STATE AND THE ISSUER IS NOT AND WILL NOT BE REGISTERED UNDER THE UNITED STATES INVESTMENT COMPANY ACT OF 1940, AS AMENDED (THE “</w:t>
      </w:r>
      <w:r>
        <w:rPr>
          <w:b/>
          <w:u w:val="single"/>
        </w:rPr>
        <w:t>INVESTMENT COMPANY ACT</w:t>
      </w:r>
      <w:r>
        <w:rPr>
          <w:b/>
        </w:rPr>
        <w: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THIS NOTE IS SUBJECT TO RESTRICTIONS ON TRANSFERABILITY AND RESALE AND MAY NOT BE TRANSFERRED OR RESOLD EXCEPT (A) TO PERSONS THAT ARE “QUALIFIED INSTITUTIONAL BUYERS” UNDER RULE 144A (“</w:t>
      </w:r>
      <w:r>
        <w:rPr>
          <w:b/>
          <w:u w:val="single"/>
        </w:rPr>
        <w:t>RULE 144A</w:t>
      </w:r>
      <w:r>
        <w:rPr>
          <w:b/>
        </w:rPr>
        <w:t>”) OF THE SECURITIES ACT (“</w:t>
      </w:r>
      <w:r>
        <w:rPr>
          <w:b/>
          <w:u w:val="single"/>
        </w:rPr>
        <w:t>QUALIFIED INSTITUTIONAL BUYERS</w:t>
      </w:r>
      <w:r>
        <w:rPr>
          <w:b/>
        </w:rPr>
        <w:t>”), (I) AS PERMITTED UNDER RULE 144A, (II) PURSUANT TO THE REQUIREMENTS OF, OR AN EXEMPTION UNDER, APPLICABLE STATE SECURITIES LAWS AND (III) IN ACCORDANCE WITH THE OTHER RESTRICTIONS ON TRANSFER SET FORTH IN THE INDENTURE OR (B) IN OFFSHORE TRANSACTIONS TO PERSONS THAT ARE NOT U.S. PERSONS (“</w:t>
      </w:r>
      <w:r>
        <w:rPr>
          <w:b/>
          <w:u w:val="single"/>
        </w:rPr>
        <w:t>NON U.S. PERSONS</w:t>
      </w:r>
      <w:r>
        <w:rPr>
          <w:b/>
        </w:rPr>
        <w:t>”) WITHIN THE MEANING OF REGULATION S (“</w:t>
      </w:r>
      <w:r>
        <w:rPr>
          <w:b/>
          <w:u w:val="single"/>
        </w:rPr>
        <w:t>REGULATION S</w:t>
      </w:r>
      <w:r>
        <w:rPr>
          <w:b/>
        </w:rPr>
        <w:t>) UNDER THE SECURITIES ACT, (I) AS PERMITTED UNDER REGULATION S, (II) PURSUANT TO THE REQUIREMENTS OF, OR AN EXEMPTION UNDER, APPLICABLE STATE SECURITIES LAWS AND (III) IN ACCORDANCE WITH THE OTHER RESTRICTIONS ON TRANSFER SET FORTH IN THE INDENTURE.</w:t>
      </w:r>
    </w:p>
    <w:p>
      <w:pPr>
        <w:pStyle w:val="BodyText"/>
        <w:jc w:val="both"/>
        <w:rPr>
          <w:b/>
        </w:rPr>
      </w:pPr>
      <w:r>
        <w:rPr>
          <w:b/>
        </w:rPr>
        <w:t>EACH INVESTOR IN THIS NOTE WILL BE DEEMED TO REPRESENT AND WARRANT TO THE ISSUER THAT (1) THE INVESTOR IS A QUALIFIED INSTITUTIONAL BUYER; (2) THE INVESTOR IS ACTING FOR ITS OWN ACCOUNT, OR THE ACCOUNT OF ANOTHER QUALIFIED INSTITUTIONAL BUYER; (3) THE INVESTOR IS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QUALIFIED INSTITUTIONAL BUYER.</w:t>
      </w:r>
    </w:p>
    <w:p>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THIS NOTE (OR ANY INTEREST THEREIN) MAY NOT BE ACQUIRED BY BENEFIT PLAN INVESTORS OR PLANS THAT ARE SUBJECT TO SIMILAR LAW UNLESS AT ANY TIME THAT THIS NOTE IS ACQUIRED IT IS RATED AT LEAST “BBB-” OR ITS EQUIVALENT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pStyle w:val="BodyText"/>
        <w:jc w:val="both"/>
      </w:pPr>
      <w:r>
        <w:br w:type="page"/>
      </w:r>
    </w:p>
    <w:p>
      <w:pPr>
        <w:pStyle w:val="BodyText"/>
        <w:ind w:firstLine="720"/>
        <w:jc w:val="both"/>
      </w:pPr>
      <w:r>
        <w:t>This Note is an [Initial Exchangeable][</w:t>
      </w:r>
      <w:r>
        <w:t>Exchangeable</w:t>
      </w:r>
      <w:r>
        <w:t>]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
        <w:ind w:firstLine="720"/>
        <w:jc w:val="both"/>
        <w:rPr>
          <w:b/>
          <w:bCs/>
        </w:rPr>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keepLines/>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Qualified Institutional Buyer; (2) the investor is acting for its own account, or the account of another Qualified Institutional Buyer; (3) the investor was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Qualified Institutional Buyer.</w:t>
      </w:r>
    </w:p>
    <w:p>
      <w:pPr>
        <w:pStyle w:val="BodyTextFirstIndent"/>
        <w:jc w:val="both"/>
      </w:pPr>
      <w:r>
        <w:t>Each purchaser and transferee (and if the purchaser or transferee is a Plan, its fiduciary) is deemed to (a) represent and warrant that either (I) such purchaser or transferee is not acquiring the Note (or interest therein) with the assets of a Benefit Plan Investor or a Plan that is subject to Similar Law or (II) the acquisition, holding and disposition of the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Note (or interest therein) may not be acquired by Benefit Plan Investors or Plans that are subject to Similar Law unless, at any time that such Note is acquired, it is rated at least “BBB-” or its equivalent by a nationally recognized statistical rating organization and such Note is not treated as other than indebtedness for applicable local law purposes and that such purchaser or transferee will so treat such Note.</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pPr>
      <w:bookmarkStart w:id="4" w:name="OLE_LINK1"/>
      <w:r>
        <w:t>____________________________________________________________________________________________________________________________________________________________</w:t>
      </w:r>
      <w:bookmarkEnd w:id="4"/>
      <w:r>
        <w:t>______________________________________________________________________________</w:t>
      </w:r>
    </w:p>
    <w:p>
      <w:pPr>
        <w:pStyle w:val="BodyText"/>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bookmarkStart w:id="5" w:name="OLE_LINK2"/>
    </w:p>
    <w:p>
      <w:pPr>
        <w:pStyle w:val="BodyText"/>
      </w:pPr>
      <w:r>
        <w:t>____________________________________________________________________________________________________________________________________________________________</w:t>
      </w:r>
      <w:bookmarkEnd w:id="5"/>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
      <w:pPr>
        <w:sectPr>
          <w:headerReference w:type="first" r:id="rId10"/>
          <w:footerReference w:type="first" r:id="rId11"/>
          <w:type w:val="continuous"/>
          <w:pgSz w:w="12240" w:h="15840" w:code="1"/>
          <w:pgMar w:top="1440" w:right="1440" w:bottom="1440" w:left="1440" w:header="720" w:footer="720" w:gutter="0"/>
          <w:paperSrc w:first="15" w:other="15"/>
          <w:cols w:space="720"/>
          <w:docGrid w:linePitch="360"/>
        </w:sectPr>
      </w:pPr>
    </w:p>
    <w:p>
      <w:pPr>
        <w:pStyle w:val="Title"/>
        <w:spacing w:after="0"/>
      </w:pPr>
      <w:r>
        <w:t>EXHIBIT A-2</w:t>
      </w:r>
      <w:r>
        <w:br/>
      </w:r>
      <w:r>
        <w:br/>
        <w:t>FORM OF CLASS A TEMPORARY REGULATION S GLOBAL NOTE</w:t>
      </w:r>
      <w:r>
        <w:br/>
      </w:r>
      <w:r>
        <w:br/>
        <w:t>CSMC 2022-ATH1 TRUST</w:t>
      </w:r>
      <w:r>
        <w:br/>
        <w:t>MORTGAGE-BACKED NOTES, SERIES 2022-ATH1</w:t>
      </w:r>
    </w:p>
    <w:p>
      <w:pPr>
        <w:pStyle w:val="Title"/>
        <w:sectPr>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aperSrc w:first="15" w:other="15"/>
          <w:pgNumType w:start="1"/>
          <w:cols w:space="720"/>
          <w:docGrid w:linePitch="360"/>
        </w:sectPr>
      </w:pPr>
      <w:r>
        <w:t xml:space="preserve">CLASS </w:t>
      </w:r>
      <w:r>
        <w:t>[A-1A][A-1B][A-1][A-2][A-3]</w:t>
      </w:r>
      <w:r>
        <w:t xml:space="preserve"> NOTES</w:t>
      </w: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Note Amount</w:t>
      </w:r>
      <w:r>
        <w:t>: $[●]</w:t>
      </w:r>
    </w:p>
    <w:p/>
    <w:p>
      <w:r>
        <w:rPr>
          <w:u w:val="single"/>
        </w:rPr>
        <w:t>Denomination of this Note</w:t>
      </w:r>
      <w:r>
        <w:t>: $[●]</w:t>
      </w:r>
    </w:p>
    <w:p/>
    <w:p>
      <w:r>
        <w:rPr>
          <w:u w:val="single"/>
        </w:rPr>
        <w:t>Final Scheduled Payment Date</w:t>
      </w:r>
      <w:r>
        <w:t>: Payment Date in January 2067</w:t>
      </w:r>
    </w:p>
    <w:p/>
    <w:p>
      <w:r>
        <w:rPr>
          <w:u w:val="single"/>
        </w:rPr>
        <w:t>CUSIP</w:t>
      </w:r>
      <w:r>
        <w:t>:  [●]</w:t>
      </w:r>
    </w:p>
    <w:p/>
    <w:p>
      <w:r>
        <w:rPr>
          <w:u w:val="single"/>
        </w:rPr>
        <w:t>Issuer</w:t>
      </w:r>
      <w:r>
        <w:t>:  CSMC 2022-ATH1 Trust</w:t>
      </w:r>
    </w:p>
    <w:p>
      <w:pPr>
        <w:rPr>
          <w:u w:val="single"/>
        </w:rPr>
      </w:pPr>
    </w:p>
    <w:p>
      <w:pPr>
        <w:sectPr>
          <w:type w:val="continuous"/>
          <w:pgSz w:w="12240" w:h="15840" w:code="1"/>
          <w:pgMar w:top="1440" w:right="1440" w:bottom="1440" w:left="1440" w:header="720" w:footer="720" w:gutter="0"/>
          <w:paperSrc w:first="15" w:other="15"/>
          <w:cols w:num="2" w:space="720"/>
          <w:titlePg/>
          <w:docGrid w:linePitch="360"/>
        </w:sectPr>
      </w:pPr>
    </w:p>
    <w:p>
      <w:pPr>
        <w:sectPr>
          <w:footerReference w:type="default" r:id="rId18"/>
          <w:type w:val="continuous"/>
          <w:pgSz w:w="12240" w:h="15840" w:code="1"/>
          <w:pgMar w:top="1440" w:right="1440" w:bottom="1440" w:left="1440" w:header="720" w:footer="720" w:gutter="0"/>
          <w:paperSrc w:first="15" w:other="15"/>
          <w:cols w:num="2" w:space="720"/>
          <w:docGrid w:linePitch="360"/>
        </w:sectPr>
      </w:pPr>
      <w:r>
        <w:rPr>
          <w:b/>
        </w:rPr>
        <w:br w:type="page"/>
      </w:r>
    </w:p>
    <w:p>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 BE OFFERED, SOLD OR DELIVERED, EXCEPT AS PERMITTED UNDER THE INDENTURE REFERRED TO HEREIN.</w:t>
      </w:r>
    </w:p>
    <w:p>
      <w:pPr>
        <w:pStyle w:val="BodyText"/>
        <w:spacing w:before="240"/>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THIS NOTE (OR ANY INTEREST THEREIN) MAY NOT BE ACQUIRED BY BENEFIT PLAN INVESTORS OR PLANS THAT ARE SUBJECT TO SIMILAR LAW UNLESS AT ANY TIME THAT THIS NOTE IS ACQUIRED IT IS RATED AT LEAST “BBB-” OR ITS EQUIVALENT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ind w:firstLine="720"/>
        <w:jc w:val="both"/>
      </w:pPr>
      <w:r>
        <w:br w:type="page"/>
      </w:r>
    </w:p>
    <w:p>
      <w:pPr>
        <w:ind w:firstLine="720"/>
        <w:jc w:val="both"/>
      </w:pPr>
      <w:r>
        <w:t xml:space="preserve">This Note is an </w:t>
      </w:r>
      <w:r>
        <w:t>[Initial Exchangeable][Exchangeable]</w:t>
      </w:r>
      <w:r>
        <w:t xml:space="preserv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ind w:firstLine="720"/>
        <w:jc w:val="both"/>
      </w:pPr>
    </w:p>
    <w:p>
      <w:pPr>
        <w:ind w:firstLine="720"/>
        <w:jc w:val="both"/>
        <w:rPr>
          <w:b/>
          <w:bCs/>
        </w:rPr>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jc w:val="both"/>
        <w:rPr>
          <w:b/>
          <w:bCs/>
        </w:rPr>
      </w:pP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This Note is a Temporary Regulation S Global Note for purposes of Regulation S under the Securities Act. Interests in this Global Note may be exchanged after the Exchange Date as provided in the Indenture for interests in a Permanent Regulation S Global Note of the same Class and aggregate Note Amount in accordance with the Indenture. The Permanent Regulation S Global Note shall be so issued and delivered in exchange for only that portion of this Temporary Regulation S Global Note in respect of which the Note Registrar has received a certification that the beneficial owner or owners of this Temporary Regulation S Global Note are not U.S. persons as defined in Regulation S.</w:t>
      </w:r>
    </w:p>
    <w:p>
      <w:pPr>
        <w:pStyle w:val="BodyTextFirstIndent"/>
        <w:jc w:val="both"/>
      </w:pPr>
      <w:r>
        <w:t>On an exchange of the whole of this Temporary Regulation S Global Note, this Temporary Regulation S Global Note shall be surrendered to the Note Registrar. On an exchange of only part of this Temporary Regulation S Global Note, details of such exchange shall be entered by or on behalf of the Issuer in the records of the Note Registrar and the Depository (or its nominee). If, following the issue of a Permanent Regulation S Global Note in exchange for only part of this Temporary Regulation S Global Note, further parts of this Temporary Regulation S Global Note are to be exchanged pursuant to this paragraph, such exchange may be effected without the issue of a new Permanent Regulation S Global Note and the details of such exchange shall be entered in the records of the Note Registrar and the Depository (or its nominee).</w:t>
      </w:r>
    </w:p>
    <w:p>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rPr>
          <w:b/>
        </w:rPr>
      </w:pPr>
      <w:r>
        <w:t>Each purchaser and transferee (and if the purchaser or transferee is a Plan, its fiduciary) is deemed to (a) represent and warrant that either (I) such purchaser or transferee is not acquiring the Note (or interest therein) with the assets of a Benefit Plan Investor or a Plan that is subject to Similar Law or (II) the acquisition, holding and disposition of the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Note (or interest therein) may not be acquired by Benefit Plan Investors or Plans that are subject to Similar Law unless, at any time that such Note is acquired, it is rated at least “BBB-” or its equivalent by a nationally recognized statistical rating organization and such Note is not treated as other than indebtedness for applicable local law purposes and that such purchaser or transferee will so treat such Note.</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
      <w:pPr>
        <w:sectPr>
          <w:type w:val="continuous"/>
          <w:pgSz w:w="12240" w:h="15840" w:code="1"/>
          <w:pgMar w:top="1440" w:right="1440" w:bottom="1440" w:left="1440" w:header="720" w:footer="720" w:gutter="0"/>
          <w:paperSrc w:first="15" w:other="15"/>
          <w:cols w:space="720"/>
          <w:docGrid w:linePitch="360"/>
        </w:sectPr>
      </w:pPr>
    </w:p>
    <w:p>
      <w:pPr>
        <w:pStyle w:val="BodyTextFirstIndent"/>
        <w:jc w:val="both"/>
      </w:pPr>
      <w:r>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BodyTextFirstIndent"/>
        <w:jc w:val="center"/>
      </w:pPr>
      <w:r>
        <w:br w:type="page"/>
      </w:r>
      <w:r>
        <w:rPr>
          <w:b/>
        </w:rPr>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BodyTextFirstIndent"/>
      </w:pPr>
    </w:p>
    <w:p>
      <w:pPr>
        <w:pStyle w:val="Title"/>
        <w:sectPr>
          <w:pgSz w:w="12240" w:h="15840" w:code="1"/>
          <w:pgMar w:top="1440" w:right="1440" w:bottom="1440" w:left="1440" w:header="720" w:footer="720" w:gutter="0"/>
          <w:paperSrc w:first="15" w:other="15"/>
          <w:cols w:space="720"/>
          <w:docGrid w:linePitch="360"/>
        </w:sectPr>
      </w:pPr>
    </w:p>
    <w:p>
      <w:pPr>
        <w:pStyle w:val="Title"/>
      </w:pPr>
      <w:r>
        <w:t xml:space="preserve">EXHIBIT A-3 </w:t>
      </w:r>
    </w:p>
    <w:p>
      <w:pPr>
        <w:pStyle w:val="Title"/>
      </w:pPr>
      <w:r>
        <w:t>FORM OF CLASS A PERMANENT REGULATION S GLOBAL NOTE</w:t>
      </w:r>
    </w:p>
    <w:p>
      <w:pPr>
        <w:pStyle w:val="Title"/>
        <w:spacing w:after="0"/>
      </w:pPr>
      <w:r>
        <w:t>CSMC 2022-ATH1 TRUST</w:t>
      </w:r>
      <w:r>
        <w:br/>
        <w:t>MORTGAGE-BACKED NOTES, SERIES 2022-ATH1</w:t>
      </w:r>
    </w:p>
    <w:p>
      <w:pPr>
        <w:pStyle w:val="Title"/>
        <w:spacing w:after="0"/>
      </w:pPr>
      <w:r>
        <w:t xml:space="preserve">CLASS </w:t>
      </w:r>
      <w:r>
        <w:t>[A-1A][A-1B][A-1][A-2][A-3]</w:t>
      </w:r>
      <w:r>
        <w:t xml:space="preserve"> NOTES</w:t>
      </w:r>
    </w:p>
    <w:p/>
    <w:p>
      <w:pPr>
        <w:rPr>
          <w:u w:val="single"/>
        </w:rPr>
        <w:sectPr>
          <w:footerReference w:type="default" r:id="rId19"/>
          <w:pgSz w:w="12240" w:h="15840" w:code="1"/>
          <w:pgMar w:top="1440" w:right="1440" w:bottom="1440" w:left="1440" w:header="720" w:footer="720" w:gutter="0"/>
          <w:paperSrc w:first="15" w:other="15"/>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r>
        <w:rPr>
          <w:u w:val="single"/>
        </w:rPr>
        <w:t>Note No.</w:t>
      </w:r>
      <w:r>
        <w:t>: [●]</w:t>
      </w:r>
    </w:p>
    <w:p/>
    <w:p>
      <w:r>
        <w:rPr>
          <w:u w:val="single"/>
        </w:rPr>
        <w:t>Initial Note Amount</w:t>
      </w:r>
      <w:r>
        <w:t>: $[●]</w:t>
      </w:r>
    </w:p>
    <w:p>
      <w:pPr>
        <w:rPr>
          <w:u w:val="single"/>
        </w:rPr>
      </w:pPr>
    </w:p>
    <w:p>
      <w:pPr>
        <w:rPr>
          <w:u w:val="single"/>
        </w:rPr>
      </w:pPr>
      <w:r>
        <w:rPr>
          <w:u w:val="single"/>
        </w:rPr>
        <w:t>Denomination of this Note</w:t>
      </w:r>
      <w:r>
        <w:t>: $[●]</w:t>
      </w:r>
    </w:p>
    <w:p>
      <w:pPr>
        <w:rPr>
          <w:u w:val="single"/>
        </w:rPr>
      </w:pPr>
    </w:p>
    <w:p>
      <w:r>
        <w:rPr>
          <w:u w:val="single"/>
        </w:rPr>
        <w:t>Final Scheduled Payment Date</w:t>
      </w:r>
      <w:r>
        <w:t>: Payment Date in January 2067</w:t>
      </w:r>
    </w:p>
    <w:p/>
    <w:p>
      <w:r>
        <w:rPr>
          <w:u w:val="single"/>
        </w:rPr>
        <w:t>CUSIP</w:t>
      </w:r>
      <w:r>
        <w:t>:  [●]</w:t>
      </w:r>
    </w:p>
    <w:p/>
    <w:p>
      <w:r>
        <w:rPr>
          <w:u w:val="single"/>
        </w:rPr>
        <w:t>Issuer</w:t>
      </w:r>
      <w:r>
        <w:t>:  CSMC 2022-ATH1 Trust</w:t>
      </w:r>
    </w:p>
    <w:p>
      <w:pPr>
        <w:sectPr>
          <w:type w:val="continuous"/>
          <w:pgSz w:w="12240" w:h="15840" w:code="1"/>
          <w:pgMar w:top="1440" w:right="1440" w:bottom="1440" w:left="1440" w:header="720" w:footer="720" w:gutter="0"/>
          <w:paperSrc w:first="15" w:other="15"/>
          <w:cols w:num="2" w:space="720"/>
          <w:docGrid w:linePitch="360"/>
        </w:sectPr>
      </w:pPr>
    </w:p>
    <w:p/>
    <w:p>
      <w:r>
        <w:br w:type="page"/>
      </w:r>
    </w:p>
    <w:p/>
    <w:p>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OR DELIVERED, EXCEPT AS PERMITTED UNDER THE INDENTURE REFERRED TO HEREIN.</w:t>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THIS NOTE (OR ANY INTEREST THEREIN) MAY NOT BE ACQUIRED BY BENEFIT PLAN INVESTORS OR PLANS THAT ARE SUBJECT TO SIMILAR LAW UNLESS AT ANY TIME THAT THIS NOTE IS ACQUIRED IT IS RATED AT LEAST “BBB-” OR ITS EQUIVALENT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pStyle w:val="BodyText"/>
        <w:jc w:val="both"/>
        <w:rPr>
          <w:b/>
          <w:bCs/>
        </w:rPr>
      </w:pPr>
      <w:r>
        <w:br w:type="page"/>
      </w:r>
    </w:p>
    <w:p>
      <w:pPr>
        <w:pStyle w:val="BodyTextFirstIndent"/>
        <w:jc w:val="both"/>
      </w:pPr>
      <w:r>
        <w:t xml:space="preserve">This Note is an </w:t>
      </w:r>
      <w:r>
        <w:t>[Initial Exchangeable][Exchangeable]</w:t>
      </w:r>
      <w:r>
        <w:t xml:space="preserv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rPr>
          <w:b/>
        </w:rPr>
      </w:pPr>
      <w:r>
        <w:t>Each purchaser and transferee (and if the purchaser or transferee is a Plan, its fiduciary) is deemed to (a) represent and warrant that either (I) such purchaser or transferee is not acquiring the Note (or interest therein) with the assets of a Benefit Plan Investor or a Plan that is subject to Similar Law or (II) the acquisition, holding and disposition of the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Note (or interest therein) may not be acquired by Benefit Plan Investors or Plans that are subject to Similar Law unless, at any time that such Note is acquired, it is rated at least “BBB-” or its equivalent by a nationally recognized statistical rating organization and such Note is not treated as other than indebtedness for applicable local law purposes and that such purchaser or transferee will so treat such Note.</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odyTextFirstIndent"/>
        <w:ind w:firstLine="0"/>
        <w:jc w:val="cente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jc w:val="both"/>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
      <w:pPr>
        <w:sectPr>
          <w:type w:val="continuous"/>
          <w:pgSz w:w="12240" w:h="15840" w:code="1"/>
          <w:pgMar w:top="1440" w:right="1440" w:bottom="1440" w:left="1440" w:header="720" w:footer="720" w:gutter="0"/>
          <w:paperSrc w:first="15" w:other="15"/>
          <w:cols w:space="720"/>
          <w:docGrid w:linePitch="360"/>
        </w:sectPr>
      </w:pPr>
    </w:p>
    <w:p>
      <w:pPr>
        <w:pStyle w:val="Title"/>
      </w:pPr>
      <w:r>
        <w:t>EXHIBIT A-4</w:t>
      </w:r>
    </w:p>
    <w:p>
      <w:pPr>
        <w:pStyle w:val="Title"/>
      </w:pPr>
      <w:r>
        <w:t>FORM OF CLASS M-1 RULE 144A GLOBAL NOTE</w:t>
      </w:r>
    </w:p>
    <w:p>
      <w:pPr>
        <w:pStyle w:val="Title"/>
      </w:pPr>
      <w:r>
        <w:t>CSMC 2022-ATH1 TRUST</w:t>
      </w:r>
      <w:r>
        <w:br/>
        <w:t>MORTGAGE-BACKED NOTES, SERIES 2022-ATH1</w:t>
      </w:r>
      <w:r>
        <w:br/>
        <w:t>CLASS M-1 NOTES</w:t>
      </w:r>
    </w:p>
    <w:p/>
    <w:p>
      <w:pPr>
        <w:rPr>
          <w:u w:val="single"/>
        </w:rPr>
        <w:sectPr>
          <w:footerReference w:type="default" r:id="rId20"/>
          <w:pgSz w:w="12240" w:h="15840" w:code="1"/>
          <w:pgMar w:top="1440" w:right="1440" w:bottom="1440" w:left="1440" w:header="720" w:footer="720" w:gutter="0"/>
          <w:paperSrc w:first="15" w:other="15"/>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docGrid w:linePitch="360"/>
        </w:sectPr>
      </w:pPr>
    </w:p>
    <w:p>
      <w:r>
        <w:br w:type="page"/>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w:t>
      </w:r>
    </w:p>
    <w:p>
      <w:pPr>
        <w:pStyle w:val="BodyText"/>
        <w:jc w:val="both"/>
        <w:rPr>
          <w:b/>
        </w:rPr>
      </w:pPr>
      <w:r>
        <w:rPr>
          <w:rFonts w:ascii="Times New Roman Bold" w:hAnsi="Times New Roman Bold"/>
          <w:b/>
          <w:caps/>
        </w:rPr>
        <w:t>EACH INVESTOR IN THIS NOTE WILL BE DEEMED TO REPRESENT AND WARRANT TO THE ISSUER THAT (1) THE INVESTOR IS A QUALIFIED INSTITUTIONAL BUYER; (2) THE INVESTOR IS ACTING FOR ITS OWN ACCOUNT, OR THE ACCOUNT OF ANOTHER QUALIFIED INSTITUTIONAL BUYER; (3) THE INVESTOR IS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MBPBdSingleSp5L"/>
        <w:ind w:firstLine="0"/>
        <w:jc w:val="both"/>
        <w:rPr>
          <w:b/>
          <w:caps/>
          <w:szCs w:val="24"/>
        </w:rPr>
      </w:pPr>
      <w:r>
        <w:rPr>
          <w:b/>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QUALIFIED INSTITUTIONAL BUYER.</w:t>
      </w:r>
    </w:p>
    <w:p>
      <w:pPr>
        <w:pStyle w:val="MBPBdSingleSp5L"/>
        <w:ind w:firstLine="0"/>
        <w:jc w:val="both"/>
        <w:rPr>
          <w:b/>
          <w:caps/>
          <w:szCs w:val="24"/>
        </w:rPr>
      </w:pPr>
      <w:r>
        <w:rPr>
          <w:b/>
        </w:rPr>
        <w:t>BY ACQUIRING THIS NOTE (OR ANY INTEREST THEREIN), EACH PURCHASER AND TRANSFEREE (AND IF THE PURCHASER OR TRANSFEREE IS A PLAN (AS DEFINED BELOW), ITS FIDUCIARY) IS DEEMED TO (A) REPRESENT AND 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THIS NOTE (OR ANY INTEREST THEREIN) MAY NOT BE ACQUIRED BY BENEFIT PLAN INVESTORS OR PLANS THAT ARE SUBJECT TO SIMILAR LAW UNLESS AT ANY TIME THAT THIS NOTE IS ACQUIRED IT IS RATED AT LEAST “BBB-” OR ITS EQUIVALENT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 xml:space="preserve">PAYMENTS IN REDUCTION OF THE NOTE AMOUNT OF THIS NOTE MAY BE MADE MONTHLY AS SET </w:t>
      </w:r>
      <w:r>
        <w:rPr>
          <w:b/>
        </w:rPr>
        <w:t>FORTH</w:t>
      </w:r>
      <w:r>
        <w:rPr>
          <w:b/>
        </w:rPr>
        <w:t xml:space="preserve">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r>
        <w:br w:type="page"/>
      </w:r>
    </w:p>
    <w:p>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 xml:space="preserve">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 </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rPr>
          <w:color w:val="000000"/>
        </w:rPr>
      </w:pPr>
      <w:r>
        <w:t>Each investor in this Note will be deemed to represent and warrant to the Issuer that (1) the investor is a Qualified Institutional Buyer; (2) the investor is acting for its own account, or the account of another Qualified Institutional Buyer; (3) the investor was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Qualified Institutional Buyer.</w:t>
      </w:r>
    </w:p>
    <w:p>
      <w:pPr>
        <w:pStyle w:val="BodyTextFirstIndent"/>
        <w:jc w:val="both"/>
      </w:pPr>
      <w:r>
        <w:t>Each purchaser and transferee (and if the purchaser or transferee is a Plan, its fiduciary) is deemed to (a) represent and warrant that either (I) such purchaser or transferee is not acquiring the Note (or interest therein) with the assets of a Benefit Plan Investor or a Plan that is subject to Similar Law or (II) the acquisition, holding and disposition of the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Note (or interest therein) may not be acquired by Benefit Plan Investors or Plans that are subject to Similar Law unless, at any time that such Note is acquired, it is rated at least “BBB-” or its equivalent by a nationally recognized statistical rating organization and such Note is not treated as other than indebtedness for applicable local law purposes and that such purchaser or transferee will so treat such Note.</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odyTextFirstIndent"/>
        <w:ind w:firstLine="0"/>
        <w:jc w:val="center"/>
        <w:rPr>
          <w:b/>
        </w:rPr>
      </w:pPr>
      <w:r>
        <w:br w:type="page"/>
      </w:r>
      <w:r>
        <w:rPr>
          <w:b/>
        </w:rPr>
        <w:t>CERTIFICATE OF AUTHENTICATION</w:t>
      </w:r>
    </w:p>
    <w:p>
      <w:pPr>
        <w:pStyle w:val="BodyTextIndent2"/>
        <w:jc w:val="both"/>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
      <w:pPr>
        <w:sectPr>
          <w:type w:val="continuous"/>
          <w:pgSz w:w="12240" w:h="15840" w:code="1"/>
          <w:pgMar w:top="1440" w:right="1440" w:bottom="1440" w:left="1440" w:header="720" w:footer="720" w:gutter="0"/>
          <w:paperSrc w:first="15" w:other="15"/>
          <w:cols w:space="720"/>
          <w:docGrid w:linePitch="360"/>
        </w:sectPr>
      </w:pPr>
    </w:p>
    <w:p>
      <w:pPr>
        <w:pStyle w:val="Title"/>
      </w:pPr>
      <w:r>
        <w:t>EXHIBIT A-5</w:t>
      </w:r>
    </w:p>
    <w:p>
      <w:pPr>
        <w:pStyle w:val="Title"/>
      </w:pPr>
      <w:r>
        <w:t>FORM OF CLASS M-1 TEMPORARY REGULATION S GLOBAL NOTE</w:t>
      </w:r>
      <w:r>
        <w:br/>
      </w:r>
      <w:r>
        <w:br/>
        <w:t>CSMC 2022-ATH1 TRUST</w:t>
      </w:r>
      <w:r>
        <w:br/>
        <w:t>MORTGAGE-BACKED NOTES, SERIES 2022-ATH1</w:t>
      </w:r>
      <w:r>
        <w:br/>
        <w:t>CLASS M-1 NOTES</w:t>
      </w:r>
    </w:p>
    <w:p>
      <w:pPr>
        <w:rPr>
          <w:u w:val="single"/>
        </w:rPr>
      </w:pPr>
    </w:p>
    <w:p>
      <w:pPr>
        <w:rPr>
          <w:u w:val="single"/>
        </w:rPr>
        <w:sectPr>
          <w:footerReference w:type="default" r:id="rId21"/>
          <w:pgSz w:w="12240" w:h="15840" w:code="1"/>
          <w:pgMar w:top="1440" w:right="1440" w:bottom="1440" w:left="1440" w:header="720" w:footer="720" w:gutter="0"/>
          <w:paperSrc w:first="15" w:other="15"/>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pgNumType w:start="1"/>
          <w:cols w:num="2" w:space="720"/>
          <w:docGrid w:linePitch="360"/>
        </w:sectPr>
      </w:pPr>
    </w:p>
    <w:p>
      <w:r>
        <w:br w:type="page"/>
      </w:r>
    </w:p>
    <w:p>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 BE OFFERED, SOLD OR DELIVERED, EXCEPT AS PERMITTED UNDER THE INDENTURE REFERRED TO HEREIN.</w:t>
      </w:r>
    </w:p>
    <w:p>
      <w:pPr>
        <w:pStyle w:val="BodyText"/>
        <w:spacing w:before="240"/>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THIS NOTE (OR ANY INTEREST THEREIN) MAY NOT BE ACQUIRED BY BENEFIT PLAN INVESTORS OR PLANS THAT ARE SUBJECT TO SIMILAR LAW UNLESS AT ANY TIME THAT THIS NOTE IS ACQUIRED IT IS RATED AT LEAST “BBB-” OR ITS EQUIVALENT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
      <w:r>
        <w:br w:type="page"/>
      </w:r>
    </w:p>
    <w:p>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This Note is a Temporary Regulation S Global Note for purposes of Regulation S under the Securities Act. Interests in this Global Note may be exchanged after the Exchange Date as provided in the Indenture for interests in a Permanent Regulation S Global Note of the same Class and aggregate Note Amount in accordance with the Indenture. The Permanent Regulation S Global Note shall be so issued and delivered in exchange for only that portion of this Temporary Regulation S Global Note in respect of which the Note Registrar has received a certification that the beneficial owner or owners of this Temporary Regulation S Global Note are not U.S. persons as defined in Regulation S.</w:t>
      </w:r>
    </w:p>
    <w:p>
      <w:pPr>
        <w:pStyle w:val="BodyTextFirstIndent"/>
        <w:jc w:val="both"/>
      </w:pPr>
      <w:r>
        <w:t>On an exchange of the whole of this Temporary Regulation S Global Note, this Temporary Regulation S Global Note shall be surrendered to the Note Registrar. On an exchange of only part of this Temporary Regulation S Global Note, details of such exchange shall be entered by or on behalf of the Issuer in the records of the Note Registrar and the Depository (or its nominee). If, following the issue of a Permanent Regulation S Global Note in exchange for only part of this Temporary Regulation S Global Note, further parts of this Temporary Regulation S Global Note are to be exchanged pursuant to this paragraph, such exchange may be effected without the issue of a new Permanent Regulation S Global Note and the details of such exchange shall be entered in the records of the Note Registrar and the Depository (or its nominee).</w:t>
      </w:r>
    </w:p>
    <w:p>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rPr>
          <w:color w:val="000000"/>
        </w:rPr>
      </w:pPr>
      <w:r>
        <w:rPr>
          <w:color w:val="000000"/>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pPr>
      <w:r>
        <w:t>Each purchaser and transferee (and if the purchaser or transferee is a Plan, its fiduciary) is deemed to (a) represent and warrant that either (I) such purchaser or transferee is not acquiring the Note (or interest therein) with the assets of a Benefit Plan Investor or a Plan that is subject to Similar Law or (II) the acquisition, holding and disposition of the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Note (or interest therein) may not be acquired by Benefit Plan Investors or Plans that are subject to Similar Law unless, at any time that such Note is acquired, it is rated at least “BBB-” or its equivalent by a nationally recognized statistical rating organization and such Note is not treated as other than indebtedness for applicable local law purposes and that such purchaser or transferee will so treat such Note.</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 xml:space="preserve">Modifications of and amendments to the Indenture may be made by the Issuer, the Indenture Trustee, the Master Servicer, the Paying Agent, the Note Registrar and the REMIC Administrator in accordance with the provisions of the Indenture. </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BodyTextFirstIndent"/>
        <w:jc w:val="center"/>
      </w:pPr>
      <w:r>
        <w:br w:type="page"/>
      </w:r>
      <w:r>
        <w:rPr>
          <w:b/>
        </w:rPr>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Title"/>
      </w:pPr>
    </w:p>
    <w:p>
      <w:pPr>
        <w:sectPr>
          <w:type w:val="continuous"/>
          <w:pgSz w:w="12240" w:h="15840" w:code="1"/>
          <w:pgMar w:top="1440" w:right="1440" w:bottom="1440" w:left="1440" w:header="720" w:footer="720" w:gutter="0"/>
          <w:paperSrc w:first="15" w:other="15"/>
          <w:pgNumType w:start="1"/>
          <w:cols w:space="720"/>
          <w:docGrid w:linePitch="360"/>
        </w:sectPr>
      </w:pPr>
    </w:p>
    <w:p>
      <w:pPr>
        <w:pStyle w:val="Title"/>
      </w:pPr>
      <w:r>
        <w:t>EXHIBIT A-6</w:t>
      </w:r>
    </w:p>
    <w:p>
      <w:pPr>
        <w:pStyle w:val="Title"/>
      </w:pPr>
      <w:r>
        <w:t>FORM OF CLASS M-1 PERMANENT REGULATION S GLOBAL NOTE</w:t>
      </w:r>
    </w:p>
    <w:p>
      <w:pPr>
        <w:pStyle w:val="BodyTextFirstIndent"/>
        <w:ind w:firstLine="0"/>
        <w:jc w:val="center"/>
      </w:pPr>
      <w:r>
        <w:rPr>
          <w:b/>
        </w:rPr>
        <w:t>CSMC 2022-ATH1 TRUST</w:t>
      </w:r>
      <w:r>
        <w:rPr>
          <w:b/>
        </w:rPr>
        <w:br/>
        <w:t>MORTGAGE-BACKED NOTES, SERIES 2022-ATH1</w:t>
      </w:r>
      <w:r>
        <w:rPr>
          <w:b/>
        </w:rPr>
        <w:br/>
        <w:t>CLASS M-1 NOTES</w:t>
      </w:r>
    </w:p>
    <w:p>
      <w:pPr>
        <w:rPr>
          <w:u w:val="single"/>
        </w:rPr>
      </w:pPr>
    </w:p>
    <w:p>
      <w:pPr>
        <w:rPr>
          <w:u w:val="single"/>
        </w:rPr>
        <w:sectPr>
          <w:footerReference w:type="default" r:id="rId22"/>
          <w:pgSz w:w="12240" w:h="15840" w:code="1"/>
          <w:pgMar w:top="1440" w:right="1440" w:bottom="1440" w:left="1440" w:header="720" w:footer="720" w:gutter="0"/>
          <w:paperSrc w:first="15" w:other="15"/>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
      <w:pPr>
        <w:rPr>
          <w:b/>
        </w:rPr>
        <w:sectPr>
          <w:type w:val="continuous"/>
          <w:pgSz w:w="12240" w:h="15840" w:code="1"/>
          <w:pgMar w:top="1440" w:right="1440" w:bottom="1440" w:left="1440" w:header="720" w:footer="720" w:gutter="0"/>
          <w:paperSrc w:first="15" w:other="15"/>
          <w:pgNumType w:start="1"/>
          <w:cols w:num="2" w:space="720"/>
          <w:docGrid w:linePitch="360"/>
        </w:sectPr>
      </w:pPr>
    </w:p>
    <w:p>
      <w:pPr>
        <w:rPr>
          <w:b/>
        </w:rPr>
      </w:pPr>
      <w:r>
        <w:rPr>
          <w:b/>
        </w:rPr>
        <w:br w:type="page"/>
      </w:r>
    </w:p>
    <w:p>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OR DELIVERED, EXCEPT AS PERMITTED UNDER THE INDENTURE REFERRED TO HEREIN.</w:t>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THIS NOTE (OR ANY INTEREST THEREIN) MAY NOT BE ACQUIRED BY BENEFIT PLAN INVESTORS OR PLANS THAT ARE SUBJECT TO SIMILAR LAW UNLESS AT ANY TIME THAT THIS NOTE IS ACQUIRED IT IS RATED AT LEAST “BBB-” OR ITS EQUIVALENT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r>
        <w:br w:type="page"/>
      </w:r>
    </w:p>
    <w:p>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rPr>
          <w:color w:val="000000"/>
        </w:rPr>
      </w:pPr>
      <w:r>
        <w:rPr>
          <w:color w:val="000000"/>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pPr>
      <w:r>
        <w:t>Each purchaser and transferee (and if the purchaser or transferee is a Plan, its fiduciary) is deemed to (a) represent and warrant that either (I) such purchaser or transferee is not acquiring the Note (or interest therein) with the assets of a Benefit Plan Investor or a Plan that is subject to Similar Law or (II) the acquisition, holding and disposition of the Note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Note (or interest therein) may not be acquired by Benefit Plan Investors or Plans that are subject to Similar Law unless, at any time that such Note is acquired, it is rated at least “BBB-” or its equivalent by a nationally recognized statistical rating organization and such Note is not treated as other than indebtedness for applicable local law purposes and that such purchaser or transferee will so treat such Note.</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odyTextFirstIndent"/>
        <w:ind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sectPr>
          <w:headerReference w:type="even" r:id="rId23"/>
          <w:headerReference w:type="default" r:id="rId24"/>
          <w:footerReference w:type="even" r:id="rId25"/>
          <w:headerReference w:type="first" r:id="rId26"/>
          <w:footerReference w:type="first" r:id="rId27"/>
          <w:type w:val="continuous"/>
          <w:pgSz w:w="12240" w:h="15840" w:code="1"/>
          <w:pgMar w:top="1440" w:right="1440" w:bottom="1440" w:left="1440" w:header="720" w:footer="720" w:gutter="0"/>
          <w:paperSrc w:first="15" w:other="15"/>
          <w:cols w:space="720"/>
          <w:titlePg/>
          <w:docGrid w:linePitch="360"/>
        </w:sectPr>
      </w:pPr>
    </w:p>
    <w:p/>
    <w:p>
      <w:pPr>
        <w:pStyle w:val="Title"/>
        <w:spacing w:after="0"/>
      </w:pPr>
      <w:r>
        <w:t>EXHIBIT A-7</w:t>
      </w:r>
      <w:r>
        <w:br/>
      </w:r>
      <w:r>
        <w:br/>
        <w:t xml:space="preserve">FORM OF CLASS B RULE 144A GLOBAL NOTE </w:t>
      </w:r>
      <w:r>
        <w:br/>
      </w:r>
      <w:r>
        <w:br/>
        <w:t>CSMC 2022-ATH1 TRUST</w:t>
      </w:r>
      <w:r>
        <w:br/>
        <w:t>MORTGAGE-BACKED NOTES, SERIES 2022-ATH1</w:t>
      </w:r>
    </w:p>
    <w:p>
      <w:pPr>
        <w:pStyle w:val="Title"/>
        <w:spacing w:after="0"/>
      </w:pPr>
      <w:r>
        <w:t>CLASS [B-1][B-2][B-3] NOTES</w:t>
      </w:r>
    </w:p>
    <w:p>
      <w:pPr>
        <w:pStyle w:val="Title"/>
        <w:spacing w:after="0"/>
      </w:pPr>
      <w:r>
        <w:br/>
      </w:r>
    </w:p>
    <w:p>
      <w:pPr>
        <w:sectPr>
          <w:footerReference w:type="default" r:id="rId28"/>
          <w:headerReference w:type="first" r:id="rId29"/>
          <w:footerReference w:type="first" r:id="rId30"/>
          <w:pgSz w:w="12240" w:h="15840" w:code="1"/>
          <w:pgMar w:top="1440" w:right="1440" w:bottom="1440" w:left="1440" w:header="720" w:footer="720" w:gutter="0"/>
          <w:paperSrc w:first="15" w:other="15"/>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titlePg/>
          <w:docGrid w:linePitch="360"/>
        </w:sectPr>
      </w:pPr>
    </w:p>
    <w:p>
      <w:pPr>
        <w:rPr>
          <w:b/>
        </w:rPr>
      </w:pPr>
      <w:r>
        <w:rPr>
          <w:b/>
        </w:rPr>
        <w:br w:type="page"/>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w:t>
      </w:r>
    </w:p>
    <w:p>
      <w:pPr>
        <w:pStyle w:val="MBPBdSingleSp5L"/>
        <w:ind w:firstLine="0"/>
        <w:jc w:val="both"/>
        <w:rPr>
          <w:b/>
        </w:rPr>
      </w:pPr>
      <w:r>
        <w:rPr>
          <w:b/>
        </w:rPr>
        <w:t>EACH INVESTOR IN THIS NOTE WILL BE DEEMED TO REPRESENT AND WARRANT TO THE ISSUER THAT (1) THE INVESTOR IS A QUALIFIED INSTITUTIONAL BUYER; (2) THE INVESTOR IS ACTING FOR ITS OWN ACCOUNT, OR THE ACCOUNT OF ANOTHER QUALIFIED INSTITUTIONAL BUYER; (3) THE INVESTOR IS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MBPBdSingleSp5L"/>
        <w:ind w:firstLine="0"/>
        <w:jc w:val="both"/>
        <w:rPr>
          <w:b/>
        </w:rPr>
      </w:pPr>
      <w:r>
        <w:rPr>
          <w:b/>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QUALIFIED INSTITUTIONAL BUYER.</w:t>
      </w:r>
    </w:p>
    <w:p>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pStyle w:val="BodyTextFirstIndent"/>
        <w:jc w:val="both"/>
      </w:pPr>
      <w:r>
        <w:br w:type="page"/>
      </w:r>
    </w:p>
    <w:p>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rPr>
          <w:b/>
          <w:bCs/>
        </w:rPr>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keepLines/>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Qualified Institutional Buyer; (2) the investor is acting for its own account, or the account of another Qualified Institutional Buyer; (3) the investor was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Qualified Institutional Buyer.</w:t>
      </w:r>
    </w:p>
    <w:p>
      <w:pPr>
        <w:pStyle w:val="BodyTextFirstIndent"/>
        <w:jc w:val="both"/>
      </w:pPr>
      <w:r>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
      <w:pPr>
        <w:sectPr>
          <w:headerReference w:type="first" r:id="rId31"/>
          <w:footerReference w:type="first" r:id="rId32"/>
          <w:type w:val="continuous"/>
          <w:pgSz w:w="12240" w:h="15840" w:code="1"/>
          <w:pgMar w:top="1440" w:right="1440" w:bottom="1440" w:left="1440" w:header="720" w:footer="720" w:gutter="0"/>
          <w:paperSrc w:first="15" w:other="15"/>
          <w:cols w:space="720"/>
          <w:titlePg/>
          <w:docGrid w:linePitch="360"/>
        </w:sectPr>
      </w:pPr>
    </w:p>
    <w:p>
      <w:pPr>
        <w:pStyle w:val="Title"/>
        <w:spacing w:after="0"/>
      </w:pPr>
      <w:r>
        <w:t>EXHIBIT A-8</w:t>
      </w:r>
      <w:r>
        <w:br/>
      </w:r>
      <w:r>
        <w:br/>
        <w:t>FORM OF CLASS B TEMPORARY REGULATION S GLOBAL NOTE</w:t>
      </w:r>
      <w:r>
        <w:br/>
      </w:r>
      <w:r>
        <w:br/>
        <w:t>CSMC 2022-ATH1 TRUST</w:t>
      </w:r>
      <w:r>
        <w:br/>
        <w:t>MORTGAGE-BACKED NOTES, SERIES 2022-ATH1</w:t>
      </w:r>
    </w:p>
    <w:p>
      <w:pPr>
        <w:pStyle w:val="Title"/>
        <w:sectPr>
          <w:headerReference w:type="even" r:id="rId33"/>
          <w:headerReference w:type="default" r:id="rId34"/>
          <w:footerReference w:type="even" r:id="rId35"/>
          <w:footerReference w:type="default" r:id="rId36"/>
          <w:headerReference w:type="first" r:id="rId37"/>
          <w:footerReference w:type="first" r:id="rId38"/>
          <w:pgSz w:w="12240" w:h="15840" w:code="1"/>
          <w:pgMar w:top="1440" w:right="1440" w:bottom="1440" w:left="1440" w:header="720" w:footer="720" w:gutter="0"/>
          <w:paperSrc w:first="15" w:other="15"/>
          <w:pgNumType w:start="1"/>
          <w:cols w:space="720"/>
          <w:docGrid w:linePitch="360"/>
        </w:sectPr>
      </w:pPr>
      <w:r>
        <w:t>CLASS [B-1][B-2][B-3] NOTES</w:t>
      </w:r>
      <w:r>
        <w:br/>
      </w:r>
      <w:r>
        <w:br/>
      </w: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titlePg/>
          <w:docGrid w:linePitch="360"/>
        </w:sectPr>
      </w:pPr>
    </w:p>
    <w:p>
      <w:pPr>
        <w:sectPr>
          <w:footerReference w:type="default" r:id="rId39"/>
          <w:type w:val="continuous"/>
          <w:pgSz w:w="12240" w:h="15840" w:code="1"/>
          <w:pgMar w:top="1440" w:right="1440" w:bottom="1440" w:left="1440" w:header="720" w:footer="720" w:gutter="0"/>
          <w:paperSrc w:first="15" w:other="15"/>
          <w:cols w:num="2" w:space="720"/>
          <w:docGrid w:linePitch="360"/>
        </w:sectPr>
      </w:pPr>
      <w:r>
        <w:rPr>
          <w:b/>
        </w:rPr>
        <w:br w:type="page"/>
      </w:r>
    </w:p>
    <w:p>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 BE OFFERED, SOLD OR DELIVERED, EXCEPT AS PERMITTED UNDER THE INDENTURE REFERRED TO HEREIN.</w:t>
      </w:r>
    </w:p>
    <w:p>
      <w:pPr>
        <w:pStyle w:val="BodyText"/>
        <w:spacing w:before="240"/>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ind w:firstLine="720"/>
        <w:jc w:val="both"/>
      </w:pPr>
      <w:r>
        <w:br w:type="page"/>
      </w:r>
    </w:p>
    <w:p>
      <w:pPr>
        <w:ind w:firstLine="720"/>
        <w:jc w:val="both"/>
      </w:pPr>
      <w:r>
        <w:t>This Note is an Initial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ind w:firstLine="720"/>
        <w:jc w:val="both"/>
      </w:pPr>
    </w:p>
    <w:p>
      <w:pPr>
        <w:ind w:firstLine="720"/>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jc w:val="both"/>
        <w:rPr>
          <w:b/>
          <w:bCs/>
        </w:rPr>
      </w:pP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This Note is a Temporary Regulation S Global Note for purposes of Regulation S under the Securities Act. Interests in this Global Note may be exchanged after the Exchange Date as provided in the Indenture for interests in a Permanent Regulation S Global Note of the same Class and aggregate Note Amount in accordance with the Indenture. The Permanent Regulation S Global Note shall be so issued and delivered in exchange for only that portion of this Temporary Regulation S Global Note in respect of which the Note Registrar has received a certification that the beneficial owner or owners of this Temporary Regulation S Global Note are not U.S. persons as defined in Regulation S.</w:t>
      </w:r>
    </w:p>
    <w:p>
      <w:pPr>
        <w:pStyle w:val="BodyTextFirstIndent"/>
        <w:jc w:val="both"/>
      </w:pPr>
      <w:r>
        <w:t>On an exchange of the whole of this Temporary Regulation S Global Note, this Temporary Regulation S Global Note shall be surrendered to the Note Registrar. On an exchange of only part of this Temporary Regulation S Global Note, details of such exchange shall be entered by or on behalf of the Issuer in the records of the Note Registrar and the Depository (or its nominee). If, following the issue of a Permanent Regulation S Global Note in exchange for only part of this Temporary Regulation S Global Note, further parts of this Temporary Regulation S Global Note are to be exchanged pursuant to this paragraph, such exchange may be effected without the issue of a new Permanent Regulation S Global Note and the details of such exchange shall be entered in the records of the Note Registrar and the Depository (or its nominee).</w:t>
      </w:r>
    </w:p>
    <w:p>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rPr>
          <w:b/>
        </w:rPr>
      </w:pPr>
      <w:r>
        <w:t>Each purchaser and transferee (and if the purchaser or transferee is a Plan, its fiduciary) will be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
      <w:pPr>
        <w:sectPr>
          <w:type w:val="continuous"/>
          <w:pgSz w:w="12240" w:h="15840" w:code="1"/>
          <w:pgMar w:top="1440" w:right="1440" w:bottom="1440" w:left="1440" w:header="720" w:footer="720" w:gutter="0"/>
          <w:paperSrc w:first="15" w:other="15"/>
          <w:cols w:space="720"/>
          <w:docGrid w:linePitch="360"/>
        </w:sectPr>
      </w:pPr>
    </w:p>
    <w:p>
      <w:pPr>
        <w:pStyle w:val="BodyTextFirstIndent"/>
        <w:jc w:val="both"/>
      </w:pPr>
      <w:r>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BodyTextFirstIndent"/>
        <w:jc w:val="center"/>
      </w:pPr>
      <w:r>
        <w:br w:type="page"/>
      </w:r>
      <w:r>
        <w:rPr>
          <w:b/>
        </w:rPr>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BodyTextFirstIndent"/>
      </w:pPr>
    </w:p>
    <w:p>
      <w:pPr>
        <w:pStyle w:val="Title"/>
        <w:sectPr>
          <w:pgSz w:w="12240" w:h="15840" w:code="1"/>
          <w:pgMar w:top="1440" w:right="1440" w:bottom="1440" w:left="1440" w:header="720" w:footer="720" w:gutter="0"/>
          <w:paperSrc w:first="15" w:other="15"/>
          <w:cols w:space="720"/>
          <w:docGrid w:linePitch="360"/>
        </w:sectPr>
      </w:pPr>
    </w:p>
    <w:p>
      <w:pPr>
        <w:pStyle w:val="Title"/>
      </w:pPr>
      <w:r>
        <w:t xml:space="preserve">EXHIBIT A-9 </w:t>
      </w:r>
    </w:p>
    <w:p>
      <w:pPr>
        <w:pStyle w:val="Title"/>
      </w:pPr>
      <w:r>
        <w:t>FORM OF CLASS B PERMANENT REGULATION S GLOBAL NOTE</w:t>
      </w:r>
    </w:p>
    <w:p>
      <w:pPr>
        <w:pStyle w:val="Title"/>
        <w:spacing w:after="0"/>
      </w:pPr>
      <w:r>
        <w:t>CSMC 2022-ATH1 TRUST</w:t>
      </w:r>
      <w:r>
        <w:br/>
        <w:t>MORTGAGE-BACKED NOTES, SERIES 2022-ATH1</w:t>
      </w:r>
    </w:p>
    <w:p>
      <w:pPr>
        <w:pStyle w:val="Title"/>
        <w:spacing w:after="0"/>
      </w:pPr>
      <w:r>
        <w:t>CLASS [B-1][B-2][B-3] NOTES</w:t>
      </w:r>
    </w:p>
    <w:p/>
    <w:p/>
    <w:p>
      <w:pPr>
        <w:sectPr>
          <w:footerReference w:type="default" r:id="rId40"/>
          <w:pgSz w:w="12240" w:h="15840" w:code="1"/>
          <w:pgMar w:top="1440" w:right="1440" w:bottom="1440" w:left="1440" w:header="720" w:footer="720" w:gutter="0"/>
          <w:paperSrc w:first="15" w:other="15"/>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Note Amount</w:t>
      </w:r>
      <w:r>
        <w:t>: $[●]</w:t>
      </w:r>
    </w:p>
    <w:p/>
    <w:p>
      <w:r>
        <w:rPr>
          <w:u w:val="single"/>
        </w:rPr>
        <w:t>Denomination of this Note</w:t>
      </w:r>
      <w:r>
        <w:t>: $[●]</w:t>
      </w:r>
    </w:p>
    <w:p/>
    <w:p>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titlePg/>
          <w:docGrid w:linePitch="360"/>
        </w:sectPr>
      </w:pPr>
    </w:p>
    <w:p>
      <w:r>
        <w:rPr>
          <w:b/>
        </w:rPr>
        <w:br w:type="page"/>
      </w:r>
    </w:p>
    <w:p>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OR DELIVERED, EXCEPT AS PERMITTED UNDER THE INDENTURE REFERRED TO HEREIN.</w:t>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pStyle w:val="BodyText"/>
        <w:jc w:val="both"/>
        <w:rPr>
          <w:b/>
        </w:rPr>
      </w:pPr>
    </w:p>
    <w:p>
      <w:pPr>
        <w:pStyle w:val="BodyText"/>
        <w:jc w:val="both"/>
        <w:rPr>
          <w:b/>
        </w:rPr>
        <w:sectPr>
          <w:type w:val="continuous"/>
          <w:pgSz w:w="12240" w:h="15840" w:code="1"/>
          <w:pgMar w:top="1440" w:right="1440" w:bottom="1440" w:left="1440" w:header="720" w:footer="720" w:gutter="0"/>
          <w:paperSrc w:first="15" w:other="15"/>
          <w:pgNumType w:start="1"/>
          <w:cols w:space="720"/>
          <w:docGrid w:linePitch="360"/>
        </w:sectPr>
      </w:pPr>
    </w:p>
    <w:p>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February 22,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rPr>
          <w:b/>
        </w:rPr>
      </w:pPr>
      <w:r>
        <w:t>Each purchaser and transferee (and if the purchaser or transferee is a Plan, its fiduciary) will be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odyTextFirstIndent"/>
        <w:ind w:firstLine="0"/>
        <w:jc w:val="cente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jc w:val="both"/>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Title"/>
        <w:sectPr>
          <w:headerReference w:type="default" r:id="rId41"/>
          <w:pgSz w:w="12240" w:h="15840" w:code="1"/>
          <w:pgMar w:top="1440" w:right="1440" w:bottom="1440" w:left="1440" w:header="720" w:footer="720" w:gutter="0"/>
          <w:cols w:space="720"/>
          <w:docGrid w:linePitch="360"/>
        </w:sectPr>
      </w:pPr>
      <w:r>
        <w:br w:type="page"/>
      </w:r>
    </w:p>
    <w:p>
      <w:pPr>
        <w:pStyle w:val="Title"/>
      </w:pPr>
      <w:r>
        <w:t>EXHIBIT A-10</w:t>
      </w:r>
    </w:p>
    <w:p>
      <w:pPr>
        <w:pStyle w:val="Title"/>
      </w:pPr>
      <w:r>
        <w:t>FORM OF CLASS A-IO-S RULE 144A GLOBAL NOTE</w:t>
      </w:r>
    </w:p>
    <w:p>
      <w:pPr>
        <w:pStyle w:val="Title"/>
      </w:pPr>
      <w:r>
        <w:t>CSMC 2022-ATH1 TRUST</w:t>
      </w:r>
      <w:r>
        <w:br/>
        <w:t>MORTGAGE-BACKED NOTES, SERIES 2022-ATH1</w:t>
      </w:r>
      <w:r>
        <w:br/>
        <w:t>CLASS A-IO-S NOTES</w:t>
      </w:r>
    </w:p>
    <w:p>
      <w:pPr>
        <w:rPr>
          <w:u w:val="single"/>
        </w:rPr>
        <w:sectPr>
          <w:footerReference w:type="default" r:id="rId42"/>
          <w:pgSz w:w="12240" w:h="15840" w:code="1"/>
          <w:pgMar w:top="1440" w:right="1440" w:bottom="1440" w:left="1440" w:header="720" w:footer="720" w:gutter="0"/>
          <w:pgNumType w:start="1"/>
          <w:cols w:space="720"/>
          <w:docGrid w:linePitch="360"/>
        </w:sectPr>
      </w:pPr>
    </w:p>
    <w:p>
      <w:r>
        <w:rPr>
          <w:u w:val="single"/>
        </w:rPr>
        <w:t>Note Rate</w:t>
      </w:r>
      <w:r>
        <w:t>: As set forth in the Indenture</w:t>
      </w:r>
    </w:p>
    <w:p/>
    <w:p>
      <w:r>
        <w:rPr>
          <w:u w:val="single"/>
        </w:rPr>
        <w:t>Date of Indenture</w:t>
      </w:r>
      <w:r>
        <w:t xml:space="preserve">: </w:t>
      </w:r>
      <w:r>
        <w:rPr>
          <w:lang w:bidi="en-US"/>
        </w:rPr>
        <w:t>February 22, 2022</w:t>
      </w:r>
    </w:p>
    <w:p/>
    <w:p>
      <w:r>
        <w:rPr>
          <w:u w:val="single"/>
        </w:rPr>
        <w:t>Closing Date</w:t>
      </w:r>
      <w:r>
        <w:t xml:space="preserve">:  </w:t>
      </w:r>
      <w:r>
        <w:rPr>
          <w:lang w:bidi="en-US"/>
        </w:rPr>
        <w:t>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Notional Amount</w:t>
      </w:r>
      <w:r>
        <w:t>: $[●]</w:t>
      </w:r>
    </w:p>
    <w:p/>
    <w:p>
      <w:r>
        <w:rPr>
          <w:u w:val="single"/>
        </w:rPr>
        <w:t>Denomination of this Note</w:t>
      </w:r>
      <w:r>
        <w:t>: $[●]</w:t>
      </w:r>
    </w:p>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gNumType w:start="1"/>
          <w:cols w:num="2" w:space="720"/>
          <w:docGrid w:linePitch="360"/>
        </w:sectPr>
      </w:pPr>
    </w:p>
    <w:p/>
    <w:p/>
    <w:p/>
    <w:p>
      <w:pPr>
        <w:sectPr>
          <w:type w:val="continuous"/>
          <w:pgSz w:w="12240" w:h="15840" w:code="1"/>
          <w:pgMar w:top="1440" w:right="1440" w:bottom="1440" w:left="1440" w:header="720" w:footer="720" w:gutter="0"/>
          <w:pgNumType w:start="1"/>
          <w:cols w:num="2" w:space="720"/>
          <w:docGrid w:linePitch="360"/>
        </w:sectPr>
      </w:pPr>
    </w:p>
    <w:p>
      <w:pPr>
        <w:pStyle w:val="Title"/>
        <w:jc w:val="both"/>
        <w:rPr>
          <w:rFonts w:ascii="Times New Roman Bold" w:hAnsi="Times New Roman Bold"/>
          <w:caps/>
        </w:rPr>
      </w:pPr>
      <w:r>
        <w:rPr>
          <w:rFonts w:ascii="Times New Roman Bold" w:hAnsi="Times New Roman Bold"/>
          <w:caps/>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Title"/>
        <w:jc w:val="both"/>
        <w:rPr>
          <w:rFonts w:ascii="Times New Roman Bold" w:hAnsi="Times New Roman Bold"/>
          <w:caps/>
        </w:rPr>
      </w:pPr>
      <w:r>
        <w:rPr>
          <w:rFonts w:ascii="Times New Roman Bold" w:hAnsi="Times New Roman Bold"/>
          <w:caps/>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Title"/>
        <w:jc w:val="both"/>
        <w:rPr>
          <w:rFonts w:ascii="Times New Roman Bold" w:hAnsi="Times New Roman Bold"/>
          <w:caps/>
        </w:rPr>
      </w:pPr>
      <w:r>
        <w:rPr>
          <w:rFonts w:ascii="Times New Roman Bold" w:hAnsi="Times New Roman Bold"/>
          <w:caps/>
        </w:rPr>
        <w:t>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w:t>
      </w:r>
    </w:p>
    <w:p>
      <w:pPr>
        <w:pStyle w:val="Title"/>
        <w:jc w:val="both"/>
        <w:rPr>
          <w:rFonts w:ascii="Times New Roman Bold" w:hAnsi="Times New Roman Bold"/>
          <w:caps/>
        </w:rPr>
      </w:pPr>
      <w:r>
        <w:rPr>
          <w:rFonts w:ascii="Times New Roman Bold" w:hAnsi="Times New Roman Bold"/>
          <w:caps/>
        </w:rPr>
        <w:t>EACH INVESTOR IN THIS NOTE WILL BE DEEMED TO REPRESENT AND WARRANT TO THE ISSUER THAT (1) THE INVESTOR IS A QUALIFIED INSTITUTIONAL BUYER; (2) THE INVESTOR IS ACTING FOR ITS OWN ACCOUNT, OR THE ACCOUNT OF ANOTHER QUALIFIED INSTITUTIONAL BUYER; (3) THE INVESTOR IS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FirstIndent"/>
        <w:ind w:firstLine="0"/>
        <w:jc w:val="both"/>
      </w:pPr>
      <w:r>
        <w:rPr>
          <w:b/>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QUALIFIED INSTITUTIONAL BUYER.</w:t>
      </w:r>
    </w:p>
    <w:p>
      <w:pPr>
        <w:pStyle w:val="Title"/>
        <w:jc w:val="both"/>
        <w:rPr>
          <w:rFonts w:ascii="Times New Roman Bold" w:hAnsi="Times New Roman Bold"/>
          <w:caps/>
        </w:rPr>
      </w:pPr>
      <w:r>
        <w:rPr>
          <w:rFonts w:ascii="Times New Roman Bold" w:hAnsi="Times New Roman Bold"/>
          <w:caps/>
        </w:rPr>
        <w:t>BY ACQUIRING THIS NOTE (OR ANY INTEREST THEREIN), EACH PURCHASER AND TRANSFEREE (AND IF THE PURCHASER OR TRANSFEREE IS A PLAN (AS DEFINED BELOW), ITS FIDUCIARY) is deemed to REPRESENT AND WARRANT THAT SUCH PURCHASER OR TRANSFEREE IS NOT ACQUIRING THIS NOTE (OR INTEREST THEREIN) WITH THE ASSETS OF AN EMPLOYEE BENEFIT PLAN AS DEFINED IN SECTION 3(3) OF THE EMPLOYEE RETIREMENT INCOME SECURITY ACT OF 1974, AS AMENDED (“</w:t>
      </w:r>
      <w:r>
        <w:rPr>
          <w:rFonts w:ascii="Times New Roman Bold" w:hAnsi="Times New Roman Bold"/>
          <w:caps/>
          <w:u w:val="single"/>
        </w:rPr>
        <w:t>ERISA</w:t>
      </w:r>
      <w:r>
        <w:rPr>
          <w:rFonts w:ascii="Times New Roman Bold" w:hAnsi="Times New Roman Bold"/>
          <w:caps/>
        </w:rPr>
        <w:t>”) THAT IS SUBJECT TO TITLE I OF ERISA, A PLAN AS DEFINED IN SECTION 4975(E)(1) OF THE INTERNAL REVENUE CODE OF 1986, AS AMENDED (THE “</w:t>
      </w:r>
      <w:r>
        <w:rPr>
          <w:rFonts w:ascii="Times New Roman Bold" w:hAnsi="Times New Roman Bold"/>
          <w:caps/>
          <w:u w:val="single"/>
        </w:rPr>
        <w:t>CODE</w:t>
      </w:r>
      <w:r>
        <w:rPr>
          <w:rFonts w:ascii="Times New Roman Bold" w:hAnsi="Times New Roman Bold"/>
          <w:caps/>
        </w:rPr>
        <w:t xml:space="preserve">”) THAT IS SUBJECT TO SECTION 4975 OF THE CODE OR AN ENTITY THAT IS DEEMED TO HOLD ASSETS OF THE FOREGOING BY VIRTUE OF SUCH EMPLOYEE BENEFIT PLAN’S OR PLAN’S INVESTMENT IN THE ENTITY </w:t>
      </w:r>
      <w:r>
        <w:t>(COLLECTIVELY, “</w:t>
      </w:r>
      <w:r>
        <w:rPr>
          <w:u w:val="single"/>
        </w:rPr>
        <w:t>BENEFIT PLAN INVESTORS</w:t>
      </w:r>
      <w:r>
        <w:t>”)</w:t>
      </w:r>
      <w:r>
        <w:rPr>
          <w:rFonts w:ascii="Times New Roman Bold" w:hAnsi="Times New Roman Bold"/>
          <w:caps/>
        </w:rPr>
        <w:t xml:space="preserve">, OR A PLAN THAT IS SUBJECT TO A LAW THAT IS MATERIALLY SIMILAR TO TITLE I OF ERISA OR SECTION 4975 OF THE CODE </w:t>
      </w:r>
      <w:r>
        <w:t>(“</w:t>
      </w:r>
      <w:r>
        <w:rPr>
          <w:bCs/>
          <w:u w:val="single"/>
        </w:rPr>
        <w:t>SIMILAR LAW</w:t>
      </w:r>
      <w:r>
        <w:t>”)</w:t>
      </w:r>
      <w:r>
        <w:rPr>
          <w:rFonts w:ascii="Times New Roman Bold" w:hAnsi="Times New Roman Bold"/>
          <w:caps/>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Title"/>
        <w:jc w:val="both"/>
        <w:rPr>
          <w:rFonts w:ascii="Times New Roman Bold" w:hAnsi="Times New Roman Bold"/>
          <w:caps/>
        </w:rPr>
      </w:pPr>
      <w:r>
        <w:rPr>
          <w:rFonts w:ascii="Times New Roman Bold" w:hAnsi="Times New Roman Bold"/>
          <w:caps/>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Title"/>
        <w:jc w:val="both"/>
        <w:rPr>
          <w:rFonts w:ascii="Times New Roman Bold" w:hAnsi="Times New Roman Bold"/>
          <w:caps/>
        </w:rPr>
      </w:pPr>
      <w:r>
        <w:rPr>
          <w:rFonts w:ascii="Times New Roman Bold" w:hAnsi="Times New Roman Bold"/>
          <w:caps/>
        </w:rPr>
        <w:t>THE NOTIONAL AMOUNT OF THIS NOTE WILL BE REDUCED AS SET FORTH IN THE INDENTURE.  ACCORDINGLY, THE NOTIONAL AMOUNT OF THIS NOTE AT ANY TIME MAY BE LESS THAN THE INITIAL NOTIONAL AMOUNT SET FORTH ABOVE.</w:t>
      </w:r>
    </w:p>
    <w:p>
      <w:pPr>
        <w:pStyle w:val="Title"/>
        <w:jc w:val="both"/>
        <w:rPr>
          <w:rFonts w:ascii="Times New Roman Bold" w:hAnsi="Times New Roman Bold"/>
          <w:caps/>
        </w:rPr>
      </w:pPr>
      <w:r>
        <w:rPr>
          <w:rFonts w:ascii="Times New Roman Bold" w:hAnsi="Times New Roman Bold"/>
          <w:caps/>
        </w:rPr>
        <w:t>THIS CLASS A-IO-S NOTE WILL NOT BE ENTITLED TO RECEIVE PAYMENTS OR OTHER DISTRIBUTION OF PRINCIPAL.</w:t>
      </w:r>
    </w:p>
    <w:p>
      <w:pPr>
        <w:jc w:val="both"/>
        <w:rPr>
          <w:rFonts w:ascii="Times New Roman Bold" w:hAnsi="Times New Roman Bold"/>
          <w:b/>
          <w:bCs/>
          <w:cap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r>
        <w:rPr>
          <w:rFonts w:ascii="Times New Roman Bold" w:hAnsi="Times New Roman Bold"/>
          <w:bCs/>
          <w:caps/>
        </w:rPr>
        <w:br w:type="page"/>
      </w:r>
    </w:p>
    <w:p>
      <w:pPr>
        <w:pStyle w:val="BodyTextFirstIndent"/>
        <w:jc w:val="both"/>
      </w:pPr>
      <w:r>
        <w:t>This Note is an Initial Exchangeable Note and the Notional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Title"/>
        <w:ind w:firstLine="720"/>
        <w:jc w:val="both"/>
        <w:rPr>
          <w:b w:val="0"/>
          <w:bCs/>
        </w:rPr>
      </w:pPr>
      <w:r>
        <w:rPr>
          <w:b w:val="0"/>
        </w:rPr>
        <w:t>This certifies that Cede &amp; Co. is the registered owner (the “</w:t>
      </w:r>
      <w:r>
        <w:rPr>
          <w:b w:val="0"/>
          <w:u w:val="single"/>
        </w:rPr>
        <w:t>Holder</w:t>
      </w:r>
      <w:r>
        <w:rPr>
          <w:b w:val="0"/>
        </w:rPr>
        <w:t>”) of this Note which is one of the Notes (collectively, the “</w:t>
      </w:r>
      <w:r>
        <w:rPr>
          <w:b w:val="0"/>
          <w:u w:val="single"/>
        </w:rPr>
        <w:t>Notes</w:t>
      </w:r>
      <w:r>
        <w:rPr>
          <w:b w:val="0"/>
        </w:rPr>
        <w:t>”) issued by the Issuer referred to above pursuant to the Indenture, dated as of February 22, 2022 (the “</w:t>
      </w:r>
      <w:r>
        <w:rPr>
          <w:b w:val="0"/>
          <w:u w:val="single"/>
        </w:rPr>
        <w:t>Indenture</w:t>
      </w:r>
      <w:r>
        <w:rPr>
          <w:b w:val="0"/>
        </w:rPr>
        <w:t>”), among the Issuer referred to above, the Indenture Trustee referred to above, Citibank, N.A., as paying agent, as note registrar and as REMIC administrator, and Nationstar Mortgage LLC, as master servicer, on behalf of the holders of the Notes (the “</w:t>
      </w:r>
      <w:r>
        <w:rPr>
          <w:b w:val="0"/>
          <w:u w:val="single"/>
        </w:rPr>
        <w:t>Noteholders</w:t>
      </w:r>
      <w:r>
        <w:rPr>
          <w:b w:val="0"/>
        </w:rP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Title"/>
        <w:jc w:val="both"/>
        <w:rPr>
          <w:b w:val="0"/>
          <w:bCs/>
        </w:rPr>
      </w:pPr>
      <w:r>
        <w:rPr>
          <w:b w:val="0"/>
          <w:bCs/>
        </w:rPr>
        <w:tab/>
        <w:t>Pursuant to the terms of the Indenture, payments on the Notes will be made on the 25</w:t>
      </w:r>
      <w:r>
        <w:rPr>
          <w:b w:val="0"/>
          <w:bCs/>
          <w:vertAlign w:val="superscript"/>
        </w:rPr>
        <w:t xml:space="preserve">th </w:t>
      </w:r>
      <w:r>
        <w:rPr>
          <w:b w:val="0"/>
          <w:bCs/>
        </w:rPr>
        <w:t>day of each month, or the immediately following Business Day if such day is not a Business Day (each, a “</w:t>
      </w:r>
      <w:r>
        <w:rPr>
          <w:b w:val="0"/>
          <w:bCs/>
          <w:u w:val="single"/>
        </w:rPr>
        <w:t>Payment Date</w:t>
      </w:r>
      <w:r>
        <w:rPr>
          <w:b w:val="0"/>
          <w:bCs/>
        </w:rPr>
        <w:t xml:space="preserve">”), commencing in March 2022.  All payments made under the Indenture on this Note will be made by the Paying Agent, by wire transfer to such account as such Noteholder shall designate by written instruction received by the </w:t>
      </w:r>
      <w:r>
        <w:rPr>
          <w:b w:val="0"/>
        </w:rPr>
        <w:t>Paying Agent</w:t>
      </w:r>
      <w:r>
        <w:rPr>
          <w:b w:val="0"/>
          <w:bCs/>
        </w:rPr>
        <w:t xml:space="preserve">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Title"/>
        <w:jc w:val="both"/>
        <w:rPr>
          <w:b w:val="0"/>
          <w:bCs/>
        </w:rPr>
      </w:pPr>
      <w:r>
        <w:rPr>
          <w:b w:val="0"/>
          <w:bCs/>
        </w:rPr>
        <w:tab/>
      </w:r>
      <w:r>
        <w:rPr>
          <w:b w:val="0"/>
        </w:rP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r>
        <w:rPr>
          <w:b w:val="0"/>
          <w:bCs/>
        </w:rPr>
        <w:t xml:space="preserve"> </w:t>
      </w:r>
    </w:p>
    <w:p>
      <w:pPr>
        <w:pStyle w:val="Title"/>
        <w:jc w:val="both"/>
        <w:rPr>
          <w:b w:val="0"/>
        </w:rPr>
      </w:pPr>
      <w:r>
        <w:rPr>
          <w:b w:val="0"/>
          <w:bCs/>
        </w:rPr>
        <w:tab/>
      </w:r>
      <w:r>
        <w:rPr>
          <w:b w:val="0"/>
        </w:rP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ind w:firstLine="720"/>
        <w:jc w:val="both"/>
      </w:pPr>
      <w:r>
        <w:t>Any payment to the Holder of this Note in reduction of the Notional Amount hereof is binding on such Holder and all future Holders of this Note and any Note issued upon the transfer hereof or in exchange herefor or in lieu hereof whether or not notation of such payment is made upon this Note.</w:t>
      </w:r>
    </w:p>
    <w:p>
      <w:pPr>
        <w:ind w:firstLine="720"/>
        <w:jc w:val="both"/>
      </w:pPr>
    </w:p>
    <w:p>
      <w:pPr>
        <w:ind w:firstLine="720"/>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Notional Amount, as requested by the Holder surrendering the same.</w:t>
      </w:r>
    </w:p>
    <w:p>
      <w:pPr>
        <w:ind w:firstLine="720"/>
      </w:pPr>
    </w:p>
    <w:p>
      <w:pPr>
        <w:pStyle w:val="Title"/>
        <w:jc w:val="both"/>
        <w:rPr>
          <w:b w:val="0"/>
          <w:bCs/>
        </w:rPr>
      </w:pPr>
      <w:r>
        <w:rPr>
          <w:b w:val="0"/>
          <w:bCs/>
        </w:rPr>
        <w:tab/>
      </w:r>
      <w:r>
        <w:rPr>
          <w:b w:val="0"/>
        </w:rP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Title"/>
        <w:jc w:val="both"/>
        <w:rPr>
          <w:b w:val="0"/>
          <w:bCs/>
        </w:rPr>
      </w:pPr>
      <w:r>
        <w:rPr>
          <w:b w:val="0"/>
          <w:bCs/>
        </w:rPr>
        <w:tab/>
      </w:r>
      <w:r>
        <w:rPr>
          <w:b w:val="0"/>
        </w:rP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Title"/>
        <w:jc w:val="both"/>
        <w:rPr>
          <w:b w:val="0"/>
          <w:bCs/>
        </w:rPr>
      </w:pPr>
      <w:r>
        <w:rPr>
          <w:b w:val="0"/>
          <w:bCs/>
        </w:rPr>
        <w:tab/>
      </w:r>
      <w:r>
        <w:rPr>
          <w:b w:val="0"/>
        </w:rPr>
        <w:t>Each investor in this Note will be deemed to represent and warrant to the Issuer that (1) the investor is a Qualified Institutional Buyer; (2) the investor is acting for its own account, or the account of another Qualified Institutional Buyer; (3) the investor was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Title"/>
        <w:jc w:val="both"/>
        <w:rPr>
          <w:b w:val="0"/>
          <w:bCs/>
        </w:rPr>
      </w:pPr>
      <w:r>
        <w:tab/>
      </w:r>
      <w:r>
        <w:rPr>
          <w:b w:val="0"/>
          <w:bCs/>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Qualified Institutional Buyer.</w:t>
      </w:r>
    </w:p>
    <w:p>
      <w:pPr>
        <w:pStyle w:val="Title"/>
        <w:jc w:val="both"/>
        <w:rPr>
          <w:b w:val="0"/>
          <w:bCs/>
        </w:rPr>
      </w:pPr>
      <w:r>
        <w:rPr>
          <w:b w:val="0"/>
          <w:bCs/>
        </w:rPr>
        <w:tab/>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pStyle w:val="Title"/>
        <w:jc w:val="both"/>
        <w:rPr>
          <w:b w:val="0"/>
          <w:bCs/>
        </w:rPr>
      </w:pPr>
      <w:r>
        <w:rPr>
          <w:b w:val="0"/>
          <w:bCs/>
        </w:rPr>
        <w:tab/>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Title"/>
        <w:jc w:val="both"/>
        <w:rPr>
          <w:b w:val="0"/>
          <w:bCs/>
        </w:rPr>
      </w:pPr>
      <w:r>
        <w:rPr>
          <w:b w:val="0"/>
          <w:bCs/>
        </w:rPr>
        <w:tab/>
      </w:r>
      <w:r>
        <w:rPr>
          <w:b w:val="0"/>
        </w:rP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Notional Amount will be issued to the designated transferee or transferees.</w:t>
      </w:r>
    </w:p>
    <w:p>
      <w:pPr>
        <w:pStyle w:val="Title"/>
        <w:jc w:val="both"/>
        <w:rPr>
          <w:b w:val="0"/>
          <w:bCs/>
        </w:rPr>
      </w:pPr>
      <w:r>
        <w:rPr>
          <w:b w:val="0"/>
          <w:bCs/>
        </w:rPr>
        <w:tab/>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Title"/>
        <w:jc w:val="both"/>
        <w:rPr>
          <w:b w:val="0"/>
          <w:bCs/>
        </w:rPr>
      </w:pPr>
      <w:r>
        <w:rPr>
          <w:b w:val="0"/>
          <w:bCs/>
        </w:rPr>
        <w:tab/>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Title"/>
        <w:ind w:firstLine="720"/>
        <w:jc w:val="both"/>
        <w:rPr>
          <w:b w:val="0"/>
          <w:bCs/>
        </w:rPr>
      </w:pPr>
      <w:r>
        <w:rPr>
          <w:b w:val="0"/>
        </w:rPr>
        <w:t>Modifications of and amendments to the Indenture may be made by the Issuer, the Indenture Trustee, the Master Servicer, the Paying Agent, the Note Registrar and the REMIC Administrator in accordance with the provisions of the Indenture.</w:t>
      </w:r>
    </w:p>
    <w:p>
      <w:pPr>
        <w:pStyle w:val="Title"/>
        <w:jc w:val="both"/>
        <w:rPr>
          <w:b w:val="0"/>
          <w:bCs/>
        </w:rPr>
      </w:pPr>
      <w:r>
        <w:rPr>
          <w:b w:val="0"/>
          <w:bCs/>
        </w:rPr>
        <w:tab/>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Title"/>
        <w:jc w:val="both"/>
        <w:rPr>
          <w:b w:val="0"/>
          <w:bCs/>
        </w:rPr>
      </w:pPr>
      <w:r>
        <w:rPr>
          <w:b w:val="0"/>
          <w:bCs/>
        </w:rPr>
        <w:tab/>
        <w:t>Unless the certificate of authentication hereon has been executed by the Note Registrar, by manual signature, this Note shall not be entitled to any benefit under the Indenture or be valid for any purpose.</w:t>
      </w:r>
    </w:p>
    <w:p>
      <w:pPr>
        <w:pStyle w:val="Title"/>
        <w:jc w:val="both"/>
        <w:rPr>
          <w:b w:val="0"/>
          <w:bCs/>
        </w:rPr>
      </w:pPr>
      <w:r>
        <w:rPr>
          <w:b w:val="0"/>
          <w:bCs/>
        </w:rPr>
        <w:tab/>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Title"/>
        <w:jc w:val="both"/>
        <w:rPr>
          <w:b w:val="0"/>
          <w:bCs/>
        </w:rPr>
      </w:pPr>
      <w:r>
        <w:rPr>
          <w:b w:val="0"/>
          <w:bCs/>
        </w:rPr>
        <w:tab/>
        <w:t>The registered Holder hereof, by its acceptance hereof, agrees that it will look solely to the Trust Estate (to the extent of its rights therein) for payments hereunder.</w:t>
      </w:r>
    </w:p>
    <w:p>
      <w:pPr>
        <w:pStyle w:val="Title"/>
        <w:jc w:val="both"/>
        <w:rPr>
          <w:b w:val="0"/>
          <w:bCs/>
          <w:caps/>
        </w:rPr>
      </w:pPr>
      <w:r>
        <w:rPr>
          <w:b w:val="0"/>
          <w:bCs/>
          <w:caps/>
        </w:rPr>
        <w:tab/>
        <w:t>This Note SHALL BE GOVERNED BY AND CONSTRUED IN ACCORDANCE WITH THE LAWS OF THE STATE OF NEW YORK WITHOUT REGARD TO THE CONFLICT OF LAWS PROVISIONS THEREOF (OTHER THAN SECTIONS 5-1401 AND 5-1402 OF THE NEW YORK GENERAL OBLIGATIONS LAW, WHICH SHALL GOVERN).</w:t>
      </w:r>
    </w:p>
    <w:p>
      <w:r>
        <w:rPr>
          <w:b/>
        </w:rPr>
        <w:br w:type="page"/>
      </w:r>
    </w:p>
    <w:p>
      <w:pPr>
        <w:pStyle w:val="Title"/>
        <w:jc w:val="left"/>
        <w:rPr>
          <w:b w:val="0"/>
        </w:rPr>
      </w:pPr>
      <w:r>
        <w:rPr>
          <w:b w:val="0"/>
        </w:rPr>
        <w:tab/>
        <w:t>IN WITNESS WHEREOF, the Issuer has caused this instrument to be duly executed.</w:t>
      </w:r>
    </w:p>
    <w:p>
      <w:r>
        <w:t>Dated:  ____________________, 2022</w:t>
      </w:r>
    </w:p>
    <w:p/>
    <w:p>
      <w:pPr>
        <w:ind w:left="4320"/>
        <w:rPr>
          <w:b/>
          <w:bCs/>
        </w:rPr>
      </w:pPr>
      <w:r>
        <w:rPr>
          <w:b/>
          <w:bCs/>
        </w:rPr>
        <w:t>CSMC 2022-ATH1 TRUST</w:t>
      </w:r>
    </w:p>
    <w:p>
      <w:pPr>
        <w:ind w:left="4320"/>
        <w:rPr>
          <w:b/>
          <w:bCs/>
        </w:rPr>
      </w:pPr>
    </w:p>
    <w:p>
      <w:pPr>
        <w:ind w:left="4320"/>
      </w:pPr>
      <w:r>
        <w:rPr>
          <w:bCs/>
        </w:rPr>
        <w:t>By: Wilmington Savings Fund Society, FSB, not in its individual capacity but solely as Owner Trustee</w:t>
      </w:r>
    </w:p>
    <w:p>
      <w:pPr>
        <w:ind w:left="4320"/>
      </w:pPr>
    </w:p>
    <w:p>
      <w:pPr>
        <w:ind w:left="4320"/>
      </w:pPr>
    </w:p>
    <w:p>
      <w:pPr>
        <w:ind w:left="4320"/>
      </w:pPr>
      <w:r>
        <w:t>By: ______________________________________</w:t>
      </w:r>
    </w:p>
    <w:p>
      <w:pPr>
        <w:ind w:left="4320"/>
      </w:pPr>
      <w:r>
        <w:t>Name:</w:t>
      </w:r>
      <w:r>
        <w:br/>
        <w:t>Title:</w:t>
      </w:r>
    </w:p>
    <w:p/>
    <w:p/>
    <w:p/>
    <w:p>
      <w:r>
        <w:br w:type="page"/>
      </w:r>
    </w:p>
    <w:p>
      <w:pPr>
        <w:jc w:val="center"/>
        <w:rPr>
          <w:b/>
        </w:rPr>
      </w:pPr>
      <w:r>
        <w:rPr>
          <w:b/>
        </w:rPr>
        <w:t>CERTIFICATE OF AUTHENTICATION</w:t>
      </w:r>
    </w:p>
    <w:p>
      <w:pPr>
        <w:jc w:val="center"/>
        <w:rPr>
          <w:b/>
        </w:rPr>
      </w:pPr>
    </w:p>
    <w:p>
      <w:r>
        <w:tab/>
        <w:t>This is one of the Notes referred to in the within-mentioned Indenture.</w:t>
      </w:r>
    </w:p>
    <w:p/>
    <w:p>
      <w:r>
        <w:t>Dated:  ____________________, 2022</w:t>
      </w:r>
    </w:p>
    <w:p>
      <w:pPr>
        <w:ind w:left="4320"/>
      </w:pPr>
    </w:p>
    <w:p>
      <w:pPr>
        <w:ind w:left="4320"/>
      </w:pPr>
      <w:r>
        <w:rPr>
          <w:b/>
        </w:rPr>
        <w:t>CITIBANK, N.A.</w:t>
      </w:r>
      <w:r>
        <w:t xml:space="preserve">, </w:t>
      </w:r>
      <w:r>
        <w:br/>
        <w:t>as Note Registrar</w:t>
      </w:r>
      <w:r>
        <w:br/>
      </w:r>
      <w:r>
        <w:br/>
      </w:r>
    </w:p>
    <w:p>
      <w:pPr>
        <w:ind w:left="4320"/>
      </w:pPr>
      <w:r>
        <w:t>By:___________________________________</w:t>
      </w:r>
      <w:r>
        <w:br/>
        <w:t xml:space="preserve">Name:  </w:t>
      </w:r>
      <w:r>
        <w:br/>
        <w:t xml:space="preserve">Title:  </w:t>
      </w:r>
    </w:p>
    <w:p/>
    <w:p/>
    <w:p/>
    <w:p>
      <w:r>
        <w:br w:type="page"/>
      </w:r>
    </w:p>
    <w:p>
      <w:pPr>
        <w:jc w:val="center"/>
        <w:rPr>
          <w:b/>
        </w:rPr>
      </w:pPr>
      <w:r>
        <w:rPr>
          <w:b/>
        </w:rPr>
        <w:t>ASSIGNMENT</w:t>
      </w:r>
    </w:p>
    <w:p/>
    <w:p>
      <w:r>
        <w:tab/>
        <w:t>FOR VALUE RECEIVED, the undersigned hereby sell(s), assign(s) and transfer(s) unto</w:t>
      </w:r>
    </w:p>
    <w:p>
      <w:r>
        <w:t>__________________________________________________________________________________________________________________________________________________________________________________________________________________________________________</w:t>
      </w:r>
    </w:p>
    <w:p/>
    <w:p>
      <w:r>
        <w:t>(please print or typewrite name and address including postal zip code of assignee)</w:t>
      </w:r>
    </w:p>
    <w:p>
      <w:pPr>
        <w:jc w:val="center"/>
      </w:pPr>
    </w:p>
    <w:p>
      <w:r>
        <w:t>the beneficial ownership interest in the Trust Estate evidenced by the within Note and hereby authorize(s) the registration of transfer of such interest to assignee on the Note Register of the Trust Estate.</w:t>
      </w:r>
    </w:p>
    <w:p/>
    <w:p>
      <w:r>
        <w:tab/>
        <w:t>I (we) further direct the Note Registrar to issue a new Note  of the same Class and of a like Percentage Interest to the above named assignee and deliver such Note to the following address:</w:t>
      </w:r>
    </w:p>
    <w:p/>
    <w:p>
      <w:r>
        <w:t>____________________________________________________________________________________________________________________________________________________________</w:t>
      </w:r>
      <w:r>
        <w:br/>
        <w:t>Dated:</w:t>
      </w:r>
    </w:p>
    <w:p>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ind w:left="4320"/>
      </w:pPr>
    </w:p>
    <w:p>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ind w:left="4320"/>
      </w:pPr>
    </w:p>
    <w:p>
      <w:pPr>
        <w:ind w:left="4320"/>
      </w:pPr>
    </w:p>
    <w:p>
      <w:pPr>
        <w:ind w:left="4320"/>
      </w:pPr>
    </w:p>
    <w:p>
      <w:pPr>
        <w:jc w:val="center"/>
      </w:pPr>
      <w:r>
        <w:t>PAYMENT INSTRUCTIONS</w:t>
      </w:r>
    </w:p>
    <w:p>
      <w:pPr>
        <w:jc w:val="center"/>
      </w:pPr>
    </w:p>
    <w:p>
      <w:r>
        <w:tab/>
        <w:t>The Assignee should include the following for purposes of payment:</w:t>
      </w:r>
    </w:p>
    <w:p/>
    <w:p>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as its agent. </w:t>
      </w:r>
    </w:p>
    <w:p/>
    <w:p/>
    <w:p>
      <w:pPr>
        <w:sectPr>
          <w:pgSz w:w="12240" w:h="15840" w:code="1"/>
          <w:pgMar w:top="1440" w:right="1440" w:bottom="1440" w:left="1440" w:header="720" w:footer="720" w:gutter="0"/>
          <w:cols w:space="720"/>
          <w:docGrid w:linePitch="360"/>
        </w:sectPr>
      </w:pPr>
    </w:p>
    <w:p>
      <w:pPr>
        <w:pStyle w:val="Title"/>
      </w:pPr>
      <w:r>
        <w:t>EXHIBIT A-11</w:t>
      </w:r>
    </w:p>
    <w:p>
      <w:pPr>
        <w:pStyle w:val="Title"/>
      </w:pPr>
      <w:r>
        <w:t xml:space="preserve">FORM OF CLASS A-IO-S TEMPORARY REGULATION S GLOBAL NOTE </w:t>
      </w:r>
    </w:p>
    <w:p>
      <w:pPr>
        <w:pStyle w:val="Title"/>
      </w:pPr>
      <w:r>
        <w:t>CSMC 2022-ATH1 TRUST</w:t>
      </w:r>
      <w:r>
        <w:br/>
        <w:t>MORTGAGE-BACKED NOTES, SERIES 2022-ATH1</w:t>
      </w:r>
      <w:r>
        <w:br/>
        <w:t>CLASS A-IO-S NOTES</w:t>
      </w:r>
    </w:p>
    <w:p>
      <w:pPr>
        <w:rPr>
          <w:u w:val="single"/>
        </w:rPr>
        <w:sectPr>
          <w:footerReference w:type="default" r:id="rId43"/>
          <w:pgSz w:w="12240" w:h="15840" w:code="1"/>
          <w:pgMar w:top="1440" w:right="1440" w:bottom="1440" w:left="1440" w:header="720" w:footer="720" w:gutter="0"/>
          <w:pgNumType w:start="1"/>
          <w:cols w:space="720"/>
          <w:docGrid w:linePitch="360"/>
        </w:sectPr>
      </w:pPr>
    </w:p>
    <w:p>
      <w:r>
        <w:rPr>
          <w:u w:val="single"/>
        </w:rPr>
        <w:t>Note Rate</w:t>
      </w:r>
      <w:r>
        <w:t>: As set forth in the Indenture</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Notional Amount</w:t>
      </w:r>
      <w:r>
        <w:t>: $[●]</w:t>
      </w:r>
    </w:p>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gNumType w:start="1"/>
          <w:cols w:num="2" w:space="720"/>
          <w:docGrid w:linePitch="360"/>
        </w:sectPr>
      </w:pPr>
    </w:p>
    <w:p>
      <w:pPr>
        <w:rPr>
          <w:u w:val="single"/>
        </w:rPr>
      </w:pPr>
    </w:p>
    <w:p>
      <w:pPr>
        <w:rPr>
          <w:u w:val="single"/>
        </w:rPr>
      </w:pPr>
    </w:p>
    <w:p/>
    <w:p/>
    <w:p>
      <w:pPr>
        <w:sectPr>
          <w:type w:val="continuous"/>
          <w:pgSz w:w="12240" w:h="15840" w:code="1"/>
          <w:pgMar w:top="1440" w:right="1440" w:bottom="1440" w:left="1440" w:header="720" w:footer="720" w:gutter="0"/>
          <w:pgNumType w:start="1"/>
          <w:cols w:num="2" w:space="720"/>
          <w:docGrid w:linePitch="360"/>
        </w:sectPr>
      </w:pPr>
    </w:p>
    <w:p>
      <w:pPr>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 BE OFFERED, SOLD OR DELIVERED, EXCEPT AS PERMITTED UNDER THE INDENTURE REFERRED TO HEREIN.</w:t>
      </w:r>
    </w:p>
    <w:p>
      <w:pPr>
        <w:jc w:val="both"/>
        <w:rPr>
          <w:b/>
        </w:rPr>
      </w:pPr>
    </w:p>
    <w:p>
      <w:pPr>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jc w:val="both"/>
        <w:rPr>
          <w:b/>
        </w:rPr>
      </w:pPr>
    </w:p>
    <w:p>
      <w:pPr>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jc w:val="both"/>
        <w:rPr>
          <w:b/>
        </w:rPr>
      </w:pPr>
    </w:p>
    <w:p>
      <w:pPr>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jc w:val="both"/>
        <w:rPr>
          <w:b/>
        </w:rPr>
      </w:pPr>
    </w:p>
    <w:p>
      <w:pPr>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jc w:val="both"/>
        <w:rPr>
          <w:b/>
        </w:rPr>
      </w:pPr>
    </w:p>
    <w:p>
      <w:pPr>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jc w:val="both"/>
        <w:rPr>
          <w:b/>
        </w:rPr>
      </w:pPr>
    </w:p>
    <w:p>
      <w:pPr>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jc w:val="both"/>
        <w:rPr>
          <w:b/>
        </w:rPr>
      </w:pPr>
    </w:p>
    <w:p>
      <w:pPr>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jc w:val="both"/>
        <w:rPr>
          <w:b/>
        </w:rPr>
      </w:pPr>
    </w:p>
    <w:p>
      <w:pPr>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jc w:val="both"/>
        <w:rPr>
          <w:b/>
        </w:rPr>
      </w:pP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jc w:val="both"/>
        <w:rPr>
          <w:b/>
        </w:rPr>
      </w:pPr>
      <w:r>
        <w:rPr>
          <w:b/>
        </w:rPr>
        <w:t>THE NOTIONAL AMOUNT OF THIS NOTE WILL BE REDUCED AS SET FORTH IN THE INDENTURE.  ACCORDINGLY, THE NOTIONAL AMOUNT OF THIS NOTE AT ANY TIME MAY BE LESS THAN THE INITIAL NOTIONAL AMOUNT SET FORTH ABOVE.</w:t>
      </w:r>
    </w:p>
    <w:p>
      <w:pPr>
        <w:jc w:val="both"/>
        <w:rPr>
          <w:b/>
        </w:rPr>
      </w:pPr>
    </w:p>
    <w:p>
      <w:pPr>
        <w:jc w:val="both"/>
        <w:rPr>
          <w:b/>
        </w:rPr>
      </w:pPr>
      <w:r>
        <w:rPr>
          <w:b/>
        </w:rPr>
        <w:t>THIS CLASS A-IO-S NOTE WILL NOT BE ENTITLED TO RECEIVE PAYMENTS OR OTHER DISTRIBUTION OF PRINCIPAL.</w:t>
      </w:r>
    </w:p>
    <w:p>
      <w:pPr>
        <w:jc w:val="both"/>
        <w:rPr>
          <w:b/>
          <w:bCs/>
        </w:rPr>
      </w:pPr>
    </w:p>
    <w:p>
      <w:pPr>
        <w:jc w:val="both"/>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
    <w:p>
      <w:r>
        <w:br w:type="page"/>
      </w:r>
    </w:p>
    <w:p>
      <w:pPr>
        <w:ind w:firstLine="720"/>
        <w:jc w:val="both"/>
      </w:pPr>
      <w:r>
        <w:t>This Note is an Initial Exchangeable Note and the Notional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ind w:firstLine="720"/>
        <w:jc w:val="both"/>
      </w:pPr>
    </w:p>
    <w:p>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rPr>
          <w:b/>
          <w:bCs/>
        </w:rPr>
      </w:pPr>
    </w:p>
    <w:p>
      <w:pPr>
        <w:jc w:val="both"/>
      </w:pPr>
      <w:r>
        <w:tab/>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jc w:val="both"/>
      </w:pPr>
    </w:p>
    <w:p>
      <w:pPr>
        <w:jc w:val="both"/>
      </w:pPr>
      <w:r>
        <w:tab/>
        <w:t xml:space="preserve">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 </w:t>
      </w:r>
    </w:p>
    <w:p>
      <w:pPr>
        <w:jc w:val="both"/>
      </w:pPr>
    </w:p>
    <w:p>
      <w:pPr>
        <w:jc w:val="both"/>
      </w:pPr>
      <w:r>
        <w:tab/>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jc w:val="both"/>
      </w:pPr>
    </w:p>
    <w:p>
      <w:pPr>
        <w:ind w:firstLine="720"/>
        <w:jc w:val="both"/>
      </w:pPr>
      <w:r>
        <w:t>Any payment to the Holder of this Note in reduction of the Notional Amount hereof is binding on such Holder and all future Holders of this Note and any Note issued upon the transfer hereof or in exchange herefor or in lieu hereof whether or not notation of such payment is made upon this Note.</w:t>
      </w:r>
    </w:p>
    <w:p>
      <w:pPr>
        <w:ind w:firstLine="720"/>
        <w:jc w:val="both"/>
      </w:pPr>
    </w:p>
    <w:p>
      <w:pPr>
        <w:ind w:firstLine="720"/>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Notional Amount, as requested by the Holder surrendering the same.</w:t>
      </w:r>
    </w:p>
    <w:p>
      <w:pPr>
        <w:jc w:val="both"/>
      </w:pPr>
    </w:p>
    <w:p>
      <w:pPr>
        <w:jc w:val="both"/>
      </w:pPr>
      <w:r>
        <w:tab/>
        <w:t>This Note is a Temporary Regulation S Global Note for purposes of Regulation S under the Securities Act. Interests in this Global Note may be exchanged after the Exchange Date as provided in the Indenture for interests in a Permanent Regulation S Global Note of the same Class and aggregate Notional Amount in accordance with the Indenture. The Permanent Regulation S Global Note shall be so issued and delivered in exchange for only that portion of this Temporary Regulation S Global Note in respect of which the Note Registrar has received a certification that the beneficial owner or owners of this Temporary Regulation S Global Note are not U.S. persons as defined in Regulation S.</w:t>
      </w:r>
    </w:p>
    <w:p>
      <w:pPr>
        <w:jc w:val="both"/>
      </w:pPr>
    </w:p>
    <w:p>
      <w:pPr>
        <w:jc w:val="both"/>
      </w:pPr>
      <w:r>
        <w:tab/>
        <w:t>On an exchange of the whole of this Temporary Regulation S Global Note, this Temporary Regulation S Global Note shall be surrendered to the Note Registrar. On an exchange of only part of this Temporary Regulation S Global Note, details of such exchange shall be entered by or on behalf of the Issuer in the records of the Note Registrar and the Depository (or its nominee). If, following the issue of a Permanent Regulation S Global Note in exchange for only part of this Temporary Regulation S Global Note, further parts of this Temporary Regulation S Global Note are to be exchanged pursuant to this paragraph, such exchange may be effected without the issue of a new Permanent Regulation S Global Note and the details of such exchange shall be entered in the records of the Note Registrar and the Depository (or its nominee).</w:t>
      </w:r>
    </w:p>
    <w:p>
      <w:pPr>
        <w:jc w:val="both"/>
      </w:pPr>
    </w:p>
    <w:p>
      <w:pPr>
        <w:jc w:val="both"/>
      </w:pPr>
      <w:r>
        <w:tab/>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jc w:val="both"/>
      </w:pPr>
    </w:p>
    <w:p>
      <w:pPr>
        <w:jc w:val="both"/>
      </w:pPr>
      <w:r>
        <w:tab/>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jc w:val="both"/>
      </w:pPr>
    </w:p>
    <w:p>
      <w:pPr>
        <w:jc w:val="both"/>
      </w:pPr>
      <w:r>
        <w:tab/>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jc w:val="both"/>
      </w:pPr>
    </w:p>
    <w:p>
      <w:pPr>
        <w:ind w:firstLine="720"/>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jc w:val="both"/>
      </w:pPr>
    </w:p>
    <w:p>
      <w:pPr>
        <w:jc w:val="both"/>
      </w:pPr>
      <w:r>
        <w:tab/>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jc w:val="both"/>
        <w:rPr>
          <w:b/>
        </w:rPr>
      </w:pPr>
    </w:p>
    <w:p>
      <w:pPr>
        <w:jc w:val="both"/>
      </w:pPr>
      <w:r>
        <w:tab/>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jc w:val="both"/>
      </w:pPr>
    </w:p>
    <w:p>
      <w:pPr>
        <w:jc w:val="both"/>
      </w:pPr>
      <w:r>
        <w:tab/>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Notional Amount will be issued to the designated transferee or transferees.</w:t>
      </w:r>
    </w:p>
    <w:p>
      <w:pPr>
        <w:jc w:val="both"/>
      </w:pPr>
    </w:p>
    <w:p>
      <w:pPr>
        <w:jc w:val="both"/>
      </w:pPr>
      <w:r>
        <w:tab/>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jc w:val="both"/>
      </w:pPr>
    </w:p>
    <w:p>
      <w:pPr>
        <w:jc w:val="both"/>
      </w:pPr>
      <w:r>
        <w:tab/>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jc w:val="both"/>
      </w:pP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jc w:val="both"/>
      </w:pPr>
      <w:r>
        <w:t>Modifications of and amendments to the Indenture may be made by the Issuer, the Indenture Trustee, the Master Servicer, the Paying Agent, the Note Registrar and the REMIC Administrator in accordance with the provisions of the Indenture.</w:t>
      </w:r>
    </w:p>
    <w:p>
      <w:pPr>
        <w:jc w:val="both"/>
      </w:pPr>
    </w:p>
    <w:p>
      <w:pPr>
        <w:jc w:val="both"/>
      </w:pPr>
      <w:r>
        <w:tab/>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jc w:val="both"/>
      </w:pPr>
    </w:p>
    <w:p>
      <w:pPr>
        <w:jc w:val="both"/>
      </w:pPr>
      <w:r>
        <w:tab/>
        <w:t>Unless the certificate of authentication hereon has been executed by the Note Registrar, by manual signature, this Note shall not be entitled to any benefit under the Indenture or be valid for any purpose.</w:t>
      </w:r>
    </w:p>
    <w:p>
      <w:pPr>
        <w:jc w:val="both"/>
      </w:pPr>
    </w:p>
    <w:p>
      <w:pPr>
        <w:jc w:val="both"/>
      </w:pPr>
      <w:r>
        <w:tab/>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jc w:val="both"/>
      </w:pPr>
    </w:p>
    <w:p>
      <w:pPr>
        <w:jc w:val="both"/>
      </w:pPr>
      <w:r>
        <w:tab/>
        <w:t>The registered Holder hereof, by its acceptance hereof, agrees that it will look solely to the Trust Estate (to the extent of its rights therein) for payments hereunder.</w:t>
      </w:r>
    </w:p>
    <w:p>
      <w:pPr>
        <w:jc w:val="both"/>
      </w:pPr>
    </w:p>
    <w:p>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r>
        <w:br w:type="page"/>
      </w:r>
    </w:p>
    <w:p>
      <w:r>
        <w:tab/>
        <w:t>IN WITNESS WHEREOF, the Issuer has caused this instrument to be duly executed.</w:t>
      </w:r>
    </w:p>
    <w:p/>
    <w:p>
      <w:r>
        <w:t>Dated:  ____________________, 2022</w:t>
      </w:r>
    </w:p>
    <w:p/>
    <w:p>
      <w:pPr>
        <w:ind w:left="4320"/>
        <w:rPr>
          <w:b/>
          <w:bCs/>
        </w:rPr>
      </w:pPr>
      <w:r>
        <w:rPr>
          <w:b/>
          <w:bCs/>
        </w:rPr>
        <w:t>CSMC 2022-ATH1 TRUST</w:t>
      </w:r>
    </w:p>
    <w:p>
      <w:pPr>
        <w:ind w:left="4320"/>
        <w:rPr>
          <w:b/>
          <w:bCs/>
        </w:rPr>
      </w:pPr>
    </w:p>
    <w:p>
      <w:pPr>
        <w:ind w:left="4320"/>
      </w:pPr>
      <w:r>
        <w:rPr>
          <w:bCs/>
        </w:rPr>
        <w:t>By: Wilmington Savings Fund Society, FSB, not in its individual capacity but solely as Owner Trustee</w:t>
      </w:r>
    </w:p>
    <w:p>
      <w:pPr>
        <w:ind w:left="4320"/>
      </w:pPr>
    </w:p>
    <w:p>
      <w:pPr>
        <w:ind w:left="4320"/>
      </w:pPr>
    </w:p>
    <w:p>
      <w:pPr>
        <w:ind w:left="4320"/>
      </w:pPr>
      <w:r>
        <w:t>By: ______________________________________</w:t>
      </w:r>
    </w:p>
    <w:p>
      <w:pPr>
        <w:ind w:left="4320"/>
      </w:pPr>
      <w:r>
        <w:t>Name:</w:t>
      </w:r>
      <w:r>
        <w:br/>
        <w:t>Title:</w:t>
      </w:r>
    </w:p>
    <w:p/>
    <w:p>
      <w:r>
        <w:br w:type="page"/>
      </w:r>
    </w:p>
    <w:p>
      <w:pPr>
        <w:jc w:val="center"/>
        <w:rPr>
          <w:b/>
        </w:rPr>
      </w:pPr>
      <w:r>
        <w:rPr>
          <w:b/>
        </w:rPr>
        <w:t>CERTIFICATE OF AUTHENTICATION</w:t>
      </w:r>
    </w:p>
    <w:p>
      <w:pPr>
        <w:jc w:val="center"/>
        <w:rPr>
          <w:b/>
        </w:rPr>
      </w:pPr>
    </w:p>
    <w:p>
      <w:r>
        <w:tab/>
        <w:t>This is one of the Notes referred to in the within-mentioned Indenture.</w:t>
      </w:r>
    </w:p>
    <w:p/>
    <w:p>
      <w:r>
        <w:t>Dated:  ____________________, 2022</w:t>
      </w:r>
    </w:p>
    <w:p>
      <w:pPr>
        <w:ind w:left="5040"/>
      </w:pPr>
      <w:r>
        <w:rPr>
          <w:b/>
        </w:rPr>
        <w:t>CITIBANK, N.A.</w:t>
      </w:r>
      <w:r>
        <w:t xml:space="preserve">, </w:t>
      </w:r>
      <w:r>
        <w:br/>
        <w:t>as Note Registrar</w:t>
      </w:r>
      <w:r>
        <w:br/>
      </w:r>
      <w:r>
        <w:br/>
      </w:r>
    </w:p>
    <w:p>
      <w:pPr>
        <w:ind w:left="5040"/>
      </w:pPr>
      <w:r>
        <w:t>By:_________________________________</w:t>
      </w:r>
      <w:r>
        <w:br/>
        <w:t xml:space="preserve">Name:  </w:t>
      </w:r>
      <w:r>
        <w:br/>
        <w:t xml:space="preserve">Title:  </w:t>
      </w:r>
    </w:p>
    <w:p>
      <w:r>
        <w:br w:type="page"/>
      </w:r>
    </w:p>
    <w:p>
      <w:pPr>
        <w:jc w:val="center"/>
        <w:rPr>
          <w:b/>
        </w:rPr>
      </w:pPr>
      <w:r>
        <w:rPr>
          <w:b/>
        </w:rPr>
        <w:t>ASSIGNMENT</w:t>
      </w:r>
    </w:p>
    <w:p>
      <w:pPr>
        <w:jc w:val="center"/>
      </w:pPr>
    </w:p>
    <w:p>
      <w:r>
        <w:tab/>
        <w:t>FOR VALUE RECEIVED, the undersigned hereby sell(s), assign(s) and transfer(s) unto</w:t>
      </w:r>
    </w:p>
    <w:p>
      <w:r>
        <w:t>__________________________________________________________________________________________________________________________________________________________________________________________________________________________________________</w:t>
      </w:r>
    </w:p>
    <w:p/>
    <w:p>
      <w:r>
        <w:t>(please print or typewrite name and address including postal zip code of assignee)</w:t>
      </w:r>
    </w:p>
    <w:p/>
    <w:p>
      <w:r>
        <w:t>the beneficial ownership interest in the Trust Estate evidenced by the within Note and hereby authorize(s) the registration of transfer of such interest to assignee on the Note Register of the Trust Estate.</w:t>
      </w:r>
    </w:p>
    <w:p/>
    <w:p>
      <w:r>
        <w:tab/>
        <w:t>I (we) further direct the Note Registrar to issue a new Note  of the same Class and of a like Percentage Interest to the above named assignee and deliver such Note to the following address:</w:t>
      </w:r>
    </w:p>
    <w:p/>
    <w:p>
      <w:r>
        <w:t>____________________________________________________________________________________________________________________________________________________________</w:t>
      </w:r>
      <w:r>
        <w:br/>
        <w:t>Dated:</w:t>
      </w:r>
    </w:p>
    <w:p>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ind w:left="4320"/>
      </w:pPr>
    </w:p>
    <w:p>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
      <w:pPr>
        <w:jc w:val="center"/>
      </w:pPr>
    </w:p>
    <w:p>
      <w:pPr>
        <w:jc w:val="center"/>
      </w:pPr>
      <w:r>
        <w:t>PAYMENT INSTRUCTIONS</w:t>
      </w:r>
    </w:p>
    <w:p>
      <w:pPr>
        <w:jc w:val="center"/>
      </w:pPr>
    </w:p>
    <w:p>
      <w:r>
        <w:tab/>
        <w:t>The Assignee should include the following for purposes of payment:</w:t>
      </w:r>
    </w:p>
    <w:p/>
    <w:p>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
    <w:p/>
    <w:p/>
    <w:p>
      <w:pPr>
        <w:sectPr>
          <w:pgSz w:w="12240" w:h="15840" w:code="1"/>
          <w:pgMar w:top="1440" w:right="1440" w:bottom="1440" w:left="1440" w:header="720" w:footer="720" w:gutter="0"/>
          <w:cols w:space="720"/>
          <w:docGrid w:linePitch="360"/>
        </w:sectPr>
      </w:pPr>
    </w:p>
    <w:p>
      <w:pPr>
        <w:pStyle w:val="Title"/>
      </w:pPr>
      <w:r>
        <w:t>EXHIBIT A-12</w:t>
      </w:r>
    </w:p>
    <w:p>
      <w:pPr>
        <w:pStyle w:val="Title"/>
      </w:pPr>
      <w:r>
        <w:t xml:space="preserve">FORM OF CLASS A-IO-S PERMANENT REGULATION S GLOBAL NOTE </w:t>
      </w:r>
    </w:p>
    <w:p>
      <w:pPr>
        <w:pStyle w:val="Title"/>
      </w:pPr>
      <w:r>
        <w:t>CSMC 2022-ATH1 TRUST</w:t>
      </w:r>
      <w:r>
        <w:br/>
        <w:t>MORTGAGE-BACKED NOTES, SERIES 2022-ATH1</w:t>
      </w:r>
      <w:r>
        <w:br/>
        <w:t>CLASS A-IO-S NOTES</w:t>
      </w:r>
    </w:p>
    <w:p>
      <w:pPr>
        <w:rPr>
          <w:u w:val="single"/>
        </w:rPr>
        <w:sectPr>
          <w:footerReference w:type="default" r:id="rId44"/>
          <w:pgSz w:w="12240" w:h="15840" w:code="1"/>
          <w:pgMar w:top="1440" w:right="1440" w:bottom="1440" w:left="1440" w:header="720" w:footer="720" w:gutter="0"/>
          <w:pgNumType w:start="1"/>
          <w:cols w:space="720"/>
          <w:docGrid w:linePitch="360"/>
        </w:sectPr>
      </w:pPr>
    </w:p>
    <w:p>
      <w:r>
        <w:rPr>
          <w:u w:val="single"/>
        </w:rPr>
        <w:t>Note Rate</w:t>
      </w:r>
      <w:r>
        <w:t>: As set forth in the Indenture</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p>
      <w:r>
        <w:rPr>
          <w:u w:val="single"/>
        </w:rPr>
        <w:t>Note No.</w:t>
      </w:r>
      <w:r>
        <w:t>: [●]</w:t>
      </w:r>
    </w:p>
    <w:p/>
    <w:p>
      <w:pPr>
        <w:rPr>
          <w:u w:val="single"/>
        </w:rPr>
      </w:pPr>
      <w:r>
        <w:rPr>
          <w:u w:val="single"/>
        </w:rPr>
        <w:t>Initial Notional Amount</w:t>
      </w:r>
      <w:r>
        <w:t>: $[●]</w:t>
      </w:r>
    </w:p>
    <w:p>
      <w:pPr>
        <w:rPr>
          <w:u w:val="single"/>
        </w:rPr>
      </w:pPr>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gNumType w:start="1"/>
          <w:cols w:num="2" w:space="720"/>
          <w:docGrid w:linePitch="360"/>
        </w:sectPr>
      </w:pPr>
    </w:p>
    <w:p/>
    <w:p/>
    <w:p>
      <w:r>
        <w:br w:type="page"/>
      </w:r>
    </w:p>
    <w:p>
      <w:pPr>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OR DELIVERED, EXCEPT AS PERMITTED UNDER THE INDENTURE REFERRED TO HEREIN.</w:t>
      </w:r>
    </w:p>
    <w:p>
      <w:pPr>
        <w:jc w:val="both"/>
        <w:rPr>
          <w:b/>
        </w:rPr>
      </w:pPr>
    </w:p>
    <w:p>
      <w:pPr>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jc w:val="both"/>
        <w:rPr>
          <w:b/>
        </w:rPr>
      </w:pPr>
    </w:p>
    <w:p>
      <w:pPr>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jc w:val="both"/>
        <w:rPr>
          <w:b/>
        </w:rPr>
      </w:pPr>
    </w:p>
    <w:p>
      <w:pPr>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jc w:val="both"/>
        <w:rPr>
          <w:b/>
        </w:rPr>
      </w:pPr>
    </w:p>
    <w:p>
      <w:pPr>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jc w:val="both"/>
        <w:rPr>
          <w:b/>
        </w:rPr>
      </w:pPr>
    </w:p>
    <w:p>
      <w:pPr>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jc w:val="both"/>
        <w:rPr>
          <w:b/>
        </w:rPr>
      </w:pPr>
    </w:p>
    <w:p>
      <w:pPr>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jc w:val="both"/>
        <w:rPr>
          <w:b/>
        </w:rPr>
      </w:pPr>
    </w:p>
    <w:p>
      <w:pPr>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pPr>
        <w:jc w:val="both"/>
        <w:rPr>
          <w:b/>
        </w:rPr>
      </w:pPr>
    </w:p>
    <w:p>
      <w:pPr>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jc w:val="both"/>
        <w:rPr>
          <w:b/>
        </w:rPr>
      </w:pP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jc w:val="both"/>
        <w:rPr>
          <w:b/>
        </w:rPr>
      </w:pPr>
      <w:r>
        <w:rPr>
          <w:b/>
        </w:rPr>
        <w:t>THE NOTIONAL AMOUNT OF THIS NOTE WILL BE REDUCED AS SET FORTH IN THE INDENTURE.  ACCORDINGLY, THE NOTIONAL AMOUNT OF THIS NOTE AT ANY TIME MAY BE LESS THAN THE INITIAL NOTIONAL AMOUNT SET FORTH ABOVE.</w:t>
      </w:r>
    </w:p>
    <w:p>
      <w:pPr>
        <w:jc w:val="both"/>
        <w:rPr>
          <w:b/>
        </w:rPr>
      </w:pPr>
    </w:p>
    <w:p>
      <w:pPr>
        <w:jc w:val="both"/>
        <w:rPr>
          <w:b/>
        </w:rPr>
      </w:pPr>
      <w:r>
        <w:rPr>
          <w:b/>
        </w:rPr>
        <w:t>THIS CLASS A-IO-S NOTE WILL NOT BE ENTITLED TO RECEIVE PAYMENTS OR OTHER DISTRIBUTION OF PRINCIPAL.</w:t>
      </w:r>
    </w:p>
    <w:p>
      <w:pPr>
        <w:jc w:val="both"/>
        <w:rPr>
          <w:b/>
        </w:rPr>
      </w:pPr>
    </w:p>
    <w:p>
      <w:pPr>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jc w:val="both"/>
        <w:rPr>
          <w:b/>
          <w:bCs/>
        </w:rPr>
      </w:pPr>
    </w:p>
    <w:p>
      <w:pPr>
        <w:jc w:val="both"/>
        <w:rPr>
          <w:b/>
          <w:bCs/>
        </w:rPr>
      </w:pPr>
    </w:p>
    <w:p>
      <w:pPr>
        <w:rPr>
          <w:b/>
          <w:bCs/>
        </w:rPr>
      </w:pPr>
      <w:r>
        <w:rPr>
          <w:b/>
          <w:bCs/>
        </w:rPr>
        <w:br w:type="page"/>
      </w:r>
    </w:p>
    <w:p>
      <w:pPr>
        <w:ind w:firstLine="720"/>
        <w:jc w:val="both"/>
      </w:pPr>
      <w:r>
        <w:t>This Note is an Initial Exchangeable Note and the Notional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ind w:firstLine="720"/>
        <w:jc w:val="both"/>
      </w:pPr>
    </w:p>
    <w:p>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jc w:val="both"/>
      </w:pPr>
    </w:p>
    <w:p>
      <w:pPr>
        <w:jc w:val="both"/>
      </w:pPr>
      <w:r>
        <w:tab/>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jc w:val="both"/>
      </w:pPr>
    </w:p>
    <w:p>
      <w:pPr>
        <w:jc w:val="both"/>
      </w:pPr>
      <w:r>
        <w:tab/>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jc w:val="both"/>
      </w:pPr>
      <w:r>
        <w:t xml:space="preserve"> </w:t>
      </w:r>
    </w:p>
    <w:p>
      <w:pPr>
        <w:jc w:val="both"/>
      </w:pPr>
      <w:r>
        <w:tab/>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jc w:val="both"/>
      </w:pPr>
    </w:p>
    <w:p>
      <w:pPr>
        <w:ind w:firstLine="720"/>
        <w:jc w:val="both"/>
      </w:pPr>
      <w:r>
        <w:t>Any payment to the Holder of this Note in reduction of the Notional Amount hereof is binding on such Holder and all future Holders of this Note and any Note issued upon the transfer hereof or in exchange herefor or in lieu hereof whether or not notation of such payment is made upon this Note.</w:t>
      </w:r>
    </w:p>
    <w:p>
      <w:pPr>
        <w:ind w:firstLine="720"/>
        <w:jc w:val="both"/>
      </w:pPr>
    </w:p>
    <w:p>
      <w:pPr>
        <w:ind w:firstLine="720"/>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Notional Amount, as requested by the Holder surrendering the same.</w:t>
      </w:r>
    </w:p>
    <w:p>
      <w:pPr>
        <w:jc w:val="both"/>
      </w:pPr>
    </w:p>
    <w:p>
      <w:pPr>
        <w:jc w:val="both"/>
      </w:pPr>
      <w:r>
        <w:tab/>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jc w:val="both"/>
      </w:pPr>
    </w:p>
    <w:p>
      <w:pPr>
        <w:jc w:val="both"/>
      </w:pPr>
      <w:r>
        <w:tab/>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jc w:val="both"/>
      </w:pPr>
    </w:p>
    <w:p>
      <w:pPr>
        <w:jc w:val="both"/>
      </w:pPr>
      <w:r>
        <w:tab/>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jc w:val="both"/>
      </w:pPr>
    </w:p>
    <w:p>
      <w:pPr>
        <w:ind w:firstLine="720"/>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jc w:val="both"/>
      </w:pPr>
    </w:p>
    <w:p>
      <w:pPr>
        <w:jc w:val="both"/>
      </w:pPr>
      <w:r>
        <w:tab/>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jc w:val="both"/>
        <w:rPr>
          <w:b/>
        </w:rPr>
      </w:pPr>
    </w:p>
    <w:p>
      <w:pPr>
        <w:jc w:val="both"/>
      </w:pPr>
      <w:r>
        <w:tab/>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jc w:val="both"/>
      </w:pPr>
    </w:p>
    <w:p>
      <w:pPr>
        <w:jc w:val="both"/>
      </w:pPr>
      <w:r>
        <w:tab/>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Notional Amount will be issued to the designated transferee or transferees.</w:t>
      </w:r>
    </w:p>
    <w:p>
      <w:pPr>
        <w:jc w:val="both"/>
      </w:pPr>
    </w:p>
    <w:p>
      <w:pPr>
        <w:jc w:val="both"/>
      </w:pPr>
      <w:r>
        <w:tab/>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jc w:val="both"/>
      </w:pPr>
    </w:p>
    <w:p>
      <w:pPr>
        <w:jc w:val="both"/>
      </w:pPr>
      <w:r>
        <w:tab/>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jc w:val="both"/>
      </w:pPr>
    </w:p>
    <w:p>
      <w:pPr>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jc w:val="both"/>
      </w:pPr>
    </w:p>
    <w:p>
      <w:pPr>
        <w:spacing w:after="240"/>
        <w:ind w:firstLine="720"/>
        <w:jc w:val="both"/>
      </w:pPr>
      <w:r>
        <w:t>The Indenture will be discharged (except with respect to certain continuing rights specified in the Indenture) in accordance with the provisions therein.</w:t>
      </w:r>
    </w:p>
    <w:p>
      <w:pPr>
        <w:ind w:firstLine="720"/>
        <w:jc w:val="both"/>
      </w:pPr>
      <w:r>
        <w:t>Modifications of and amendments to the Indenture may be made by the Issuer, the Indenture Trustee, the Master Servicer, the Paying Agent, the Note Registrar and the REMIC Administrator in accordance with the provisions of the Indenture.</w:t>
      </w:r>
    </w:p>
    <w:p>
      <w:pPr>
        <w:jc w:val="both"/>
      </w:pPr>
    </w:p>
    <w:p>
      <w:pPr>
        <w:jc w:val="both"/>
      </w:pPr>
      <w:r>
        <w:tab/>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jc w:val="both"/>
      </w:pPr>
    </w:p>
    <w:p>
      <w:pPr>
        <w:jc w:val="both"/>
      </w:pPr>
      <w:r>
        <w:tab/>
        <w:t>Unless the certificate of authentication hereon has been executed by the Note Registrar, by manual signature, this Note shall not be entitled to any benefit under the Indenture or be valid for any purpose.</w:t>
      </w:r>
    </w:p>
    <w:p>
      <w:pPr>
        <w:jc w:val="both"/>
      </w:pPr>
    </w:p>
    <w:p>
      <w:pPr>
        <w:jc w:val="both"/>
      </w:pPr>
      <w:r>
        <w:tab/>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jc w:val="both"/>
      </w:pPr>
    </w:p>
    <w:p>
      <w:pPr>
        <w:jc w:val="both"/>
      </w:pPr>
      <w:r>
        <w:tab/>
        <w:t>The registered Holder hereof, by its acceptance hereof, agrees that it will look solely to the Trust Estate (to the extent of its rights therein) for payments hereunder.</w:t>
      </w:r>
    </w:p>
    <w:p>
      <w:pPr>
        <w:jc w:val="both"/>
      </w:pPr>
    </w:p>
    <w:p>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r>
        <w:br w:type="page"/>
      </w:r>
    </w:p>
    <w:p>
      <w:pPr>
        <w:ind w:left="720"/>
        <w:jc w:val="both"/>
      </w:pPr>
      <w:r>
        <w:t>IN WITNESS WHEREOF, the Issuer has caused this instrument to be duly executed.</w:t>
      </w:r>
    </w:p>
    <w:p>
      <w:pPr>
        <w:ind w:left="720"/>
        <w:jc w:val="both"/>
      </w:pPr>
    </w:p>
    <w:p>
      <w:pPr>
        <w:jc w:val="both"/>
      </w:pPr>
      <w:r>
        <w:t>Dated:  ____________________, 2022</w:t>
      </w:r>
    </w:p>
    <w:p>
      <w:pPr>
        <w:jc w:val="both"/>
      </w:pPr>
    </w:p>
    <w:p>
      <w:pPr>
        <w:ind w:left="4320"/>
        <w:jc w:val="both"/>
        <w:rPr>
          <w:b/>
          <w:bCs/>
        </w:rPr>
      </w:pPr>
      <w:r>
        <w:rPr>
          <w:b/>
          <w:bCs/>
        </w:rPr>
        <w:t>CSMC 2022-ATH1 TRUST</w:t>
      </w:r>
    </w:p>
    <w:p>
      <w:pPr>
        <w:ind w:left="4320"/>
        <w:jc w:val="both"/>
        <w:rPr>
          <w:b/>
          <w:bCs/>
        </w:rPr>
      </w:pPr>
    </w:p>
    <w:p>
      <w:pPr>
        <w:ind w:left="4320"/>
        <w:jc w:val="both"/>
        <w:rPr>
          <w:bCs/>
        </w:rPr>
      </w:pPr>
      <w:r>
        <w:rPr>
          <w:bCs/>
        </w:rPr>
        <w:t>By: Wilmington Savings Fund Society, FSB, not in its individual capacity but solely as Owner Trustee</w:t>
      </w:r>
    </w:p>
    <w:p>
      <w:pPr>
        <w:ind w:left="4320"/>
        <w:jc w:val="both"/>
      </w:pPr>
    </w:p>
    <w:p>
      <w:pPr>
        <w:ind w:left="4320"/>
        <w:jc w:val="both"/>
      </w:pPr>
    </w:p>
    <w:p>
      <w:pPr>
        <w:ind w:left="4320"/>
        <w:jc w:val="both"/>
      </w:pPr>
      <w:r>
        <w:t>By: ______________________________________</w:t>
      </w:r>
    </w:p>
    <w:p>
      <w:pPr>
        <w:ind w:left="4320"/>
        <w:jc w:val="both"/>
      </w:pPr>
      <w:r>
        <w:t>Name:</w:t>
      </w:r>
      <w:r>
        <w:br/>
        <w:t>Title:</w:t>
      </w:r>
    </w:p>
    <w:p>
      <w:pPr>
        <w:jc w:val="both"/>
      </w:pPr>
    </w:p>
    <w:p>
      <w:pPr>
        <w:jc w:val="both"/>
      </w:pPr>
    </w:p>
    <w:p>
      <w:pPr>
        <w:jc w:val="both"/>
      </w:pPr>
    </w:p>
    <w:p>
      <w:r>
        <w:br w:type="page"/>
      </w:r>
    </w:p>
    <w:p>
      <w:pPr>
        <w:jc w:val="center"/>
        <w:rPr>
          <w:b/>
        </w:rPr>
      </w:pPr>
      <w:r>
        <w:rPr>
          <w:b/>
        </w:rPr>
        <w:t>CERTIFICATE OF AUTHENTICATION</w:t>
      </w:r>
    </w:p>
    <w:p>
      <w:pPr>
        <w:jc w:val="center"/>
      </w:pPr>
    </w:p>
    <w:p>
      <w:pPr>
        <w:jc w:val="both"/>
      </w:pPr>
      <w:r>
        <w:tab/>
        <w:t>This is one of the Notes referred to in the within-mentioned Indenture.</w:t>
      </w:r>
    </w:p>
    <w:p>
      <w:pPr>
        <w:jc w:val="both"/>
      </w:pPr>
    </w:p>
    <w:p>
      <w:pPr>
        <w:jc w:val="both"/>
      </w:pPr>
      <w:r>
        <w:t>Dated:  ____________________, 2022</w:t>
      </w:r>
    </w:p>
    <w:p>
      <w:pPr>
        <w:jc w:val="both"/>
      </w:pPr>
    </w:p>
    <w:p>
      <w:pPr>
        <w:ind w:left="5040"/>
        <w:jc w:val="both"/>
      </w:pPr>
      <w:r>
        <w:rPr>
          <w:b/>
        </w:rPr>
        <w:t>CITIBANK, N.A.</w:t>
      </w:r>
      <w:r>
        <w:t>, as Note Registrar</w:t>
      </w:r>
      <w:r>
        <w:br/>
      </w:r>
      <w:r>
        <w:br/>
      </w:r>
    </w:p>
    <w:p>
      <w:pPr>
        <w:ind w:left="5040"/>
        <w:jc w:val="both"/>
      </w:pPr>
      <w:r>
        <w:t>By:_________________________________</w:t>
      </w:r>
      <w:r>
        <w:br/>
        <w:t xml:space="preserve">Name:  </w:t>
      </w:r>
      <w:r>
        <w:br/>
        <w:t xml:space="preserve">Title:  </w:t>
      </w:r>
    </w:p>
    <w:p>
      <w:pPr>
        <w:jc w:val="both"/>
      </w:pPr>
    </w:p>
    <w:p>
      <w:pPr>
        <w:jc w:val="both"/>
      </w:pPr>
    </w:p>
    <w:p>
      <w:r>
        <w:br w:type="page"/>
      </w:r>
    </w:p>
    <w:p>
      <w:pPr>
        <w:jc w:val="center"/>
        <w:rPr>
          <w:b/>
        </w:rPr>
      </w:pPr>
      <w:r>
        <w:rPr>
          <w:b/>
        </w:rPr>
        <w:t>ASSIGNMENT</w:t>
      </w:r>
    </w:p>
    <w:p>
      <w:pPr>
        <w:jc w:val="center"/>
        <w:rPr>
          <w:b/>
        </w:rPr>
      </w:pPr>
    </w:p>
    <w:p>
      <w:pPr>
        <w:jc w:val="both"/>
      </w:pPr>
      <w:r>
        <w:tab/>
        <w:t>FOR VALUE RECEIVED, the undersigned hereby sell(s), assign(s) and transfer(s) unto</w:t>
      </w:r>
    </w:p>
    <w:p>
      <w:pPr>
        <w:jc w:val="both"/>
      </w:pPr>
      <w:r>
        <w:t>__________________________________________________________________________________________________________________________________________________________________________________________________________________________________________</w:t>
      </w:r>
    </w:p>
    <w:p>
      <w:pPr>
        <w:jc w:val="both"/>
      </w:pPr>
    </w:p>
    <w:p>
      <w:pPr>
        <w:jc w:val="both"/>
      </w:pPr>
      <w:r>
        <w:t>(please print or typewrite name and address including postal zip code of assignee)</w:t>
      </w:r>
    </w:p>
    <w:p>
      <w:pPr>
        <w:jc w:val="both"/>
      </w:pPr>
    </w:p>
    <w:p>
      <w:pPr>
        <w:jc w:val="both"/>
      </w:pPr>
      <w:r>
        <w:t>the beneficial ownership interest in the Trust Estate evidenced by the within Note and hereby authorize(s) the registration of transfer of such interest to assignee on the Note Register of the Trust Estate.</w:t>
      </w:r>
    </w:p>
    <w:p>
      <w:pPr>
        <w:jc w:val="both"/>
      </w:pPr>
    </w:p>
    <w:p>
      <w:pPr>
        <w:jc w:val="both"/>
      </w:pPr>
      <w:r>
        <w:tab/>
        <w:t>I (we) further direct the Note Registrar to issue a new Note  of the same Class and of a like Percentage Interest to the above named assignee and deliver such Note to the following address:</w:t>
      </w:r>
    </w:p>
    <w:p>
      <w:pPr>
        <w:jc w:val="both"/>
      </w:pPr>
      <w:r>
        <w:t>____________________________________________________________________________________________________________________________________________________________</w:t>
      </w:r>
      <w:r>
        <w:br/>
        <w:t>Dated:</w:t>
      </w:r>
    </w:p>
    <w:p>
      <w:pPr>
        <w:jc w:val="both"/>
      </w:pPr>
    </w:p>
    <w:p>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ind w:left="4320"/>
        <w:jc w:val="both"/>
      </w:pPr>
    </w:p>
    <w:p>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ind w:left="4320"/>
        <w:jc w:val="both"/>
      </w:pPr>
    </w:p>
    <w:p>
      <w:pPr>
        <w:ind w:left="4320"/>
        <w:jc w:val="center"/>
      </w:pPr>
    </w:p>
    <w:p>
      <w:pPr>
        <w:ind w:left="4320"/>
        <w:jc w:val="center"/>
      </w:pPr>
    </w:p>
    <w:p>
      <w:pPr>
        <w:jc w:val="center"/>
      </w:pPr>
      <w:r>
        <w:t>PAYMENT INSTRUCTIONS</w:t>
      </w:r>
    </w:p>
    <w:p>
      <w:pPr>
        <w:jc w:val="center"/>
      </w:pPr>
    </w:p>
    <w:p>
      <w:pPr>
        <w:jc w:val="both"/>
      </w:pPr>
      <w:r>
        <w:tab/>
        <w:t>The Assignee should include the following for purposes of payment:</w:t>
      </w:r>
    </w:p>
    <w:p>
      <w:pPr>
        <w:jc w:val="both"/>
      </w:pPr>
    </w:p>
    <w:p>
      <w:pPr>
        <w:jc w:val="both"/>
      </w:pPr>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jc w:val="both"/>
      </w:pPr>
    </w:p>
    <w:p>
      <w:pPr>
        <w:jc w:val="both"/>
      </w:pPr>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jc w:val="both"/>
      </w:pPr>
    </w:p>
    <w:p>
      <w:pPr>
        <w:jc w:val="both"/>
      </w:pPr>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jc w:val="both"/>
      </w:pPr>
      <w:r>
        <w:br w:type="page"/>
      </w:r>
    </w:p>
    <w:p>
      <w:pPr>
        <w:sectPr>
          <w:type w:val="continuous"/>
          <w:pgSz w:w="12240" w:h="15840" w:code="1"/>
          <w:pgMar w:top="1440" w:right="1440" w:bottom="1440" w:left="1440" w:header="720" w:footer="720" w:gutter="0"/>
          <w:pgNumType w:start="1"/>
          <w:cols w:space="720"/>
          <w:docGrid w:linePitch="360"/>
        </w:sectPr>
      </w:pPr>
    </w:p>
    <w:p>
      <w:pPr>
        <w:pStyle w:val="Title"/>
      </w:pPr>
      <w:r>
        <w:t>EXHIBIT A-13</w:t>
      </w:r>
    </w:p>
    <w:p>
      <w:pPr>
        <w:pStyle w:val="Title"/>
      </w:pPr>
      <w:r>
        <w:t>FORM OF CLASS XS RULE 144A GLOBAL NOTE</w:t>
      </w:r>
    </w:p>
    <w:p>
      <w:pPr>
        <w:pStyle w:val="Title"/>
      </w:pPr>
      <w:r>
        <w:t>CSMC 2022-ATH1 TRUST</w:t>
      </w:r>
      <w:r>
        <w:br/>
        <w:t>MORTGAGE-BACKED NOTES, SERIES 2022-ATH1</w:t>
      </w:r>
      <w:r>
        <w:br/>
        <w:t>CLASS XS NOTES</w:t>
      </w:r>
    </w:p>
    <w:p>
      <w:pPr>
        <w:rPr>
          <w:u w:val="single"/>
        </w:rPr>
        <w:sectPr>
          <w:footerReference w:type="default" r:id="rId45"/>
          <w:pgSz w:w="12240" w:h="15840" w:code="1"/>
          <w:pgMar w:top="1440" w:right="1440" w:bottom="1440" w:left="1440" w:header="720" w:footer="720" w:gutter="0"/>
          <w:pgNumType w:start="1"/>
          <w:cols w:space="720"/>
          <w:docGrid w:linePitch="360"/>
        </w:sectPr>
      </w:pPr>
    </w:p>
    <w:p>
      <w:r>
        <w:rPr>
          <w:u w:val="single"/>
        </w:rPr>
        <w:t>Note Rate</w:t>
      </w:r>
      <w:r>
        <w:t>: As set forth in the Indenture</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p>
      <w:r>
        <w:rPr>
          <w:u w:val="single"/>
        </w:rPr>
        <w:t>Note No.</w:t>
      </w:r>
      <w:r>
        <w:t>: [●]</w:t>
      </w:r>
    </w:p>
    <w:p/>
    <w:p>
      <w:r>
        <w:rPr>
          <w:u w:val="single"/>
        </w:rPr>
        <w:t>Initial Notional Amount</w:t>
      </w:r>
      <w:r>
        <w:t>: $[●]</w:t>
      </w:r>
    </w:p>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gNumType w:start="1"/>
          <w:cols w:num="2" w:space="720"/>
          <w:docGrid w:linePitch="360"/>
        </w:sectPr>
      </w:pPr>
    </w:p>
    <w:p/>
    <w:p>
      <w:r>
        <w:br w:type="page"/>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w:t>
      </w:r>
    </w:p>
    <w:p>
      <w:pPr>
        <w:pStyle w:val="BodyText"/>
        <w:jc w:val="both"/>
        <w:rPr>
          <w:rFonts w:ascii="Times New Roman Bold" w:hAnsi="Times New Roman Bold"/>
          <w:b/>
          <w:caps/>
        </w:rPr>
      </w:pPr>
      <w:r>
        <w:rPr>
          <w:rFonts w:ascii="Times New Roman Bold" w:hAnsi="Times New Roman Bold"/>
          <w:b/>
          <w:caps/>
        </w:rPr>
        <w:t>EACH INVESTOR IN THIS NOTE WILL BE DEEMED TO REPRESENT AND WARRANT TO THE ISSUER THAT (1) THE INVESTOR IS A QUALIFIED INSTITUTIONAL BUYER; (2) THE INVESTOR IS ACTING FOR ITS OWN ACCOUNT, OR THE ACCOUNT OF ANOTHER QUALIFIED INSTITUTIONAL BUYER; (3) THE INVESTOR IS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QUALIFIED INSTITUTIONAL BUYER.</w:t>
      </w:r>
    </w:p>
    <w:p>
      <w:pPr>
        <w:pStyle w:val="MBPBdSingleSp5L"/>
        <w:ind w:firstLine="0"/>
        <w:jc w:val="both"/>
        <w:rPr>
          <w:b/>
        </w:rPr>
      </w:pPr>
      <w:r>
        <w:rPr>
          <w:b/>
        </w:rPr>
        <w:t>BY ACQUIRING THIS NOTE (OR ANY INTEREST THEREIN), EACH PURCHASER AND TRANSFEREE (AND IF THE PURCHASER OR TRANSFEREE IS A PLAN (AS DEFINED BELOW), ITS FIDUCIARY) IS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THIS CLASS XS NOTE IS ENTITLED TO PAYMENTS OF PREPAYMENT CHARGES AND THE CLASS XS INTEREST PAYMENT AMOUNT IN ACCORDANCE WITH THE INDENTURE.  THE NOTIONAL AMOUNT OF THIS NOTE WILL BE REDUCED AS SET FORTH IN THE INDENTURE.  ACCORDINGLY, THE NOTIONAL AMOUNT OF THIS NOTE AT ANY TIME MAY BE LESS THAN THE INITIAL NOTIONAL AMOUNT SET FORTH ABOVE.</w:t>
      </w:r>
    </w:p>
    <w:p>
      <w:pPr>
        <w:pStyle w:val="BodyText"/>
        <w:jc w:val="both"/>
        <w:rPr>
          <w:b/>
        </w:rPr>
      </w:pPr>
      <w:r>
        <w:rPr>
          <w:b/>
        </w:rPr>
        <w:t>THIS CLASS XS NOTE WILL NOT BE ENTITLED TO RECEIVE PAYMENTS OR OTHER DISTRIBUTION OF PRINCIPAL.</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r>
        <w:br w:type="page"/>
      </w:r>
    </w:p>
    <w:p>
      <w:pPr>
        <w:pStyle w:val="BodyTextFirstIndent"/>
        <w:jc w:val="both"/>
      </w:pPr>
      <w:r>
        <w:t>This Note is an Initial Exchangeable Note and the Notional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 xml:space="preserve">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 </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Notional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Notional Amount, as requested by the Holder surrendering the same.</w:t>
      </w:r>
    </w:p>
    <w:p>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rPr>
          <w:color w:val="000000"/>
        </w:rPr>
      </w:pPr>
      <w:r>
        <w:t>Each investor in this Note will be deemed to represent and warrant to the Issuer that (1) the investor is a Qualified Institutional Buyer; (2) the investor is acting for its own account, or the account of another Qualified Institutional Buyer; (3) the investor was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FirstIndent"/>
        <w:jc w:val="both"/>
        <w:rPr>
          <w:color w:val="000000"/>
        </w:rPr>
      </w:pPr>
      <w: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Qualified Institutional Buyer.</w:t>
      </w:r>
    </w:p>
    <w:p>
      <w:pPr>
        <w:pStyle w:val="BodyTextFirstIndent"/>
        <w:jc w:val="both"/>
      </w:pPr>
      <w:r>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pStyle w:val="BodyTextFirstIndent"/>
        <w:jc w:val="both"/>
        <w:rPr>
          <w:bCs/>
        </w:rPr>
      </w:pPr>
      <w:r>
        <w:rPr>
          <w:bCs/>
        </w:rPr>
        <w:t xml:space="preserve">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 </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Notional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Signatureblock"/>
        <w:ind w:left="0"/>
        <w:jc w:val="center"/>
        <w:rPr>
          <w:b/>
        </w:rPr>
      </w:pPr>
      <w:r>
        <w:br w:type="page"/>
      </w:r>
      <w:r>
        <w:rPr>
          <w:b/>
        </w:rPr>
        <w:t>CERTIFICATE OF AUTHENTICATION</w:t>
      </w:r>
    </w:p>
    <w:p>
      <w:pPr>
        <w:pStyle w:val="BodyTextIndent2"/>
        <w:jc w:val="both"/>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
      <w:pPr>
        <w:sectPr>
          <w:type w:val="continuous"/>
          <w:pgSz w:w="12240" w:h="15840" w:code="1"/>
          <w:pgMar w:top="1440" w:right="1440" w:bottom="1440" w:left="1440" w:header="720" w:footer="720" w:gutter="0"/>
          <w:pgNumType w:start="1"/>
          <w:cols w:space="720"/>
          <w:docGrid w:linePitch="360"/>
        </w:sectPr>
      </w:pPr>
    </w:p>
    <w:p>
      <w:pPr>
        <w:pStyle w:val="Title"/>
      </w:pPr>
      <w:r>
        <w:t>EXHIBIT A-14</w:t>
      </w:r>
    </w:p>
    <w:p>
      <w:pPr>
        <w:pStyle w:val="Title"/>
      </w:pPr>
      <w:r>
        <w:t>FORM OF CLASS XS TEMPORARY REGULATION S GLOBAL NOTE</w:t>
      </w:r>
    </w:p>
    <w:p>
      <w:pPr>
        <w:pStyle w:val="Title"/>
      </w:pPr>
      <w:r>
        <w:t>CSMC 2022-ATH1 TRUST</w:t>
      </w:r>
      <w:r>
        <w:br/>
        <w:t>MORTGAGE-BACKED NOTES, SERIES 2022-ATH1</w:t>
      </w:r>
      <w:r>
        <w:br/>
        <w:t>CLASS XS NOTES</w:t>
      </w:r>
    </w:p>
    <w:p>
      <w:pPr>
        <w:rPr>
          <w:u w:val="single"/>
        </w:rPr>
        <w:sectPr>
          <w:footerReference w:type="default" r:id="rId46"/>
          <w:pgSz w:w="12240" w:h="15840" w:code="1"/>
          <w:pgMar w:top="1440" w:right="1440" w:bottom="1440" w:left="1440" w:header="720" w:footer="720" w:gutter="0"/>
          <w:pgNumType w:start="1"/>
          <w:cols w:space="720"/>
          <w:docGrid w:linePitch="360"/>
        </w:sectPr>
      </w:pPr>
    </w:p>
    <w:p>
      <w:r>
        <w:rPr>
          <w:u w:val="single"/>
        </w:rPr>
        <w:t>Note Rate</w:t>
      </w:r>
      <w:r>
        <w:t>: As set forth in the Indenture</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Notional Amount</w:t>
      </w:r>
      <w:r>
        <w:t>: $[●]</w:t>
      </w:r>
    </w:p>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gNumType w:start="1"/>
          <w:cols w:num="2" w:space="720"/>
          <w:docGrid w:linePitch="360"/>
        </w:sectPr>
      </w:pPr>
    </w:p>
    <w:p>
      <w:pPr>
        <w:pStyle w:val="BodyText"/>
        <w:jc w:val="both"/>
      </w:pPr>
      <w:r>
        <w:br w:type="page"/>
      </w:r>
    </w:p>
    <w:p>
      <w:pPr>
        <w:pStyle w:val="BodyText"/>
        <w:jc w:val="both"/>
      </w:pPr>
    </w:p>
    <w:p>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 BE OFFERED, SOLD OR DELIVERED, EXCEPT AS PERMITTED UNDER THE INDENTURE REFERRED TO HEREIN.</w:t>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MBPBdSingleSp5L"/>
        <w:ind w:firstLine="0"/>
        <w:jc w:val="both"/>
        <w:rPr>
          <w:b/>
        </w:rPr>
      </w:pPr>
      <w:r>
        <w:rPr>
          <w:b/>
        </w:rPr>
        <w:t>BY ACQUIRING THIS NOTE (OR ANY INTEREST THEREIN), EACH PURCHASER AND TRANSFEREE (AND IF THE PURCHASER OR TRANSFEREE IS A PLAN (AS DEFINED BELOW), ITS FIDUCIARY) IS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THIS CLASS XS NOTE IS ENTITLED TO PAYMENTS OF PREPAYMENT CHARGES AND THE CLASS XS INTEREST PAYMENT AMOUNT IN ACCORDANCE WITH THE INDENTURE.  THE NOTIONAL AMOUNT OF THIS NOTE WILL BE REDUCED AS SET FORTH IN THE INDENTURE.  ACCORDINGLY, THE NOTIONAL AMOUNT OF THIS NOTE AT ANY TIME MAY BE LESS THAN THE INITIAL NOTIONAL AMOUNT SET FORTH ABOVE.</w:t>
      </w:r>
    </w:p>
    <w:p>
      <w:pPr>
        <w:pStyle w:val="BodyText"/>
        <w:jc w:val="both"/>
        <w:rPr>
          <w:b/>
        </w:rPr>
      </w:pPr>
      <w:r>
        <w:rPr>
          <w:b/>
        </w:rPr>
        <w:t>THIS CLASS XS NOTE WILL NOT BE ENTITLED TO RECEIVE PAYMENTS OR OTHER DISTRIBUTION OF PRINCIPAL.</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r>
        <w:br w:type="page"/>
      </w:r>
    </w:p>
    <w:p>
      <w:pPr>
        <w:pStyle w:val="BodyTextFirstIndent"/>
        <w:jc w:val="both"/>
      </w:pPr>
      <w:r>
        <w:t>This Note is an Initial Exchangeable Note and the Notional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 xml:space="preserve">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 </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Notional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Notional Amount, as requested by the Holder surrendering the same.</w:t>
      </w:r>
    </w:p>
    <w:p>
      <w:pPr>
        <w:pStyle w:val="BodyTextFirstIndent"/>
        <w:jc w:val="both"/>
      </w:pPr>
      <w:r>
        <w:t>This Note is a Temporary Regulation S Global Note for purposes of Regulation S under the Securities Act. Interests in this Global Note may be exchanged after the Exchange Date as provided in the Indenture for interests in a Permanent Regulation S Global Note of the same Class and aggregate Notional Amount in accordance with the Indenture. The Permanent Regulation S Global Note shall be so issued and delivered in exchange for only that portion of this Temporary Regulation S Global Note in respect of which the Note Registrar has received a certification that the beneficial owner or owners of this Temporary Regulation S Global Note are not U.S. persons as defined in Regulation S.</w:t>
      </w:r>
    </w:p>
    <w:p>
      <w:pPr>
        <w:pStyle w:val="BodyTextFirstIndent"/>
        <w:jc w:val="both"/>
      </w:pPr>
      <w:r>
        <w:t>On an exchange of the whole of this Temporary Regulation S Global Note, this Temporary Regulation S Global Note shall be surrendered to the Note Registrar. On an exchange of only part of this Temporary Regulation S Global Note, details of such exchange shall be entered by or on behalf of the Issuer in the records of the Note Registrar and the Depository (or its nominee). If, following the issue of a Permanent Regulation S Global Note in exchange for only part of this Temporary Regulation S Global Note, further parts of this Temporary Regulation S Global Note are to be exchanged pursuant to this paragraph, such exchange may be effected without the issue of a new Permanent Regulation S Global Note and the details of such exchange shall be entered in the records of the Note Registrar and the Depository (or its nominee).</w:t>
      </w:r>
    </w:p>
    <w:p>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pPr>
      <w:r>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Notional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Signatureblock"/>
        <w:ind w:left="0"/>
        <w:jc w:val="center"/>
        <w:rPr>
          <w:b/>
        </w:rPr>
      </w:pPr>
      <w:r>
        <w:br w:type="page"/>
      </w:r>
      <w:r>
        <w:rPr>
          <w:b/>
        </w:rPr>
        <w:t>CERTIFICATE OF AUTHENTICATION</w:t>
      </w:r>
    </w:p>
    <w:p>
      <w:pPr>
        <w:pStyle w:val="BodyTextIndent2"/>
        <w:jc w:val="both"/>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Title"/>
        <w:sectPr>
          <w:type w:val="continuous"/>
          <w:pgSz w:w="12240" w:h="15840" w:code="1"/>
          <w:pgMar w:top="1440" w:right="1440" w:bottom="1440" w:left="1440" w:header="720" w:footer="720" w:gutter="0"/>
          <w:pgNumType w:start="1"/>
          <w:cols w:space="720"/>
          <w:docGrid w:linePitch="360"/>
        </w:sectPr>
      </w:pPr>
    </w:p>
    <w:p>
      <w:pPr>
        <w:pStyle w:val="Title"/>
      </w:pPr>
      <w:r>
        <w:t>EXHIBIT A-15</w:t>
      </w:r>
    </w:p>
    <w:p>
      <w:pPr>
        <w:pStyle w:val="Title"/>
      </w:pPr>
      <w:r>
        <w:t>FORM OF CLASS XS PERMANENT REGULATION S GLOBAL NOTE</w:t>
      </w:r>
    </w:p>
    <w:p>
      <w:pPr>
        <w:pStyle w:val="Title"/>
      </w:pPr>
      <w:r>
        <w:t>CSMC 2022-ATH1 TRUST</w:t>
      </w:r>
      <w:r>
        <w:br/>
        <w:t>MORTGAGE-BACKED NOTES, SERIES 2022-ATH1</w:t>
      </w:r>
      <w:r>
        <w:br/>
        <w:t>CLASS XS NOTES</w:t>
      </w:r>
    </w:p>
    <w:p>
      <w:pPr>
        <w:rPr>
          <w:u w:val="single"/>
        </w:rPr>
        <w:sectPr>
          <w:footerReference w:type="default" r:id="rId47"/>
          <w:pgSz w:w="12240" w:h="15840" w:code="1"/>
          <w:pgMar w:top="1440" w:right="1440" w:bottom="1440" w:left="1440" w:header="720" w:footer="720" w:gutter="0"/>
          <w:pgNumType w:start="1"/>
          <w:cols w:space="720"/>
          <w:docGrid w:linePitch="360"/>
        </w:sectPr>
      </w:pPr>
    </w:p>
    <w:p>
      <w:r>
        <w:rPr>
          <w:u w:val="single"/>
        </w:rPr>
        <w:t>Note Rate</w:t>
      </w:r>
      <w:r>
        <w:t>: As set forth in the Indenture</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Notional Amount</w:t>
      </w:r>
      <w:r>
        <w:t>: $[●]</w:t>
      </w:r>
    </w:p>
    <w:p/>
    <w:p>
      <w:pPr>
        <w:rPr>
          <w:u w:val="single"/>
        </w:rPr>
      </w:pPr>
      <w:r>
        <w:rPr>
          <w:u w:val="single"/>
        </w:rPr>
        <w:t>Denomination of this Note</w:t>
      </w:r>
      <w:r>
        <w:t>: $[●]</w:t>
      </w:r>
    </w:p>
    <w:p>
      <w:pPr>
        <w:rPr>
          <w:u w:val="single"/>
        </w:rPr>
      </w:pPr>
    </w:p>
    <w:p>
      <w:pPr>
        <w:rPr>
          <w:u w:val="single"/>
        </w:rPr>
      </w:pPr>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gNumType w:start="1"/>
          <w:cols w:num="2" w:space="720"/>
          <w:docGrid w:linePitch="360"/>
        </w:sectPr>
      </w:pPr>
    </w:p>
    <w:p>
      <w:pPr>
        <w:pStyle w:val="BodyText"/>
        <w:jc w:val="both"/>
      </w:pPr>
      <w:r>
        <w:br w:type="page"/>
      </w:r>
    </w:p>
    <w:p>
      <w:pPr>
        <w:pStyle w:val="BodyText"/>
        <w:jc w:val="both"/>
      </w:pPr>
    </w:p>
    <w:p>
      <w:pPr>
        <w:pStyle w:val="BodyText"/>
        <w:spacing w:before="240"/>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OR DELIVERED, EXCEPT AS PERMITTED UNDER THE INDENTURE REFERRED TO HEREIN.</w:t>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MBPBdSingleSp5L"/>
        <w:ind w:firstLine="0"/>
        <w:jc w:val="both"/>
        <w:rPr>
          <w:b/>
        </w:rPr>
      </w:pPr>
      <w:r>
        <w:rPr>
          <w:b/>
        </w:rPr>
        <w:t>BY ACQUIRING THIS NOTE (OR ANY INTEREST THEREIN), EACH PURCHASER AND TRANSFEREE (AND IF THE PURCHASER OR TRANSFEREE IS A PLAN (AS DEFINED BELOW), ITS FIDUCIARY) IS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THIS CLASS XS NOTE IS ENTITLED TO PAYMENTS OF PREPAYMENT CHARGES AND THE CLASS XS INTEREST PAYMENT AMOUNT IN ACCORDANCE WITH THE INDENTURE.  THE NOTIONAL AMOUNT OF THIS NOTE WILL BE REDUCED AS SET FORTH IN THE INDENTURE.  ACCORDINGLY, THE NOTIONAL AMOUNT OF THIS NOTE AT ANY TIME MAY BE LESS THAN THE INITIAL NOTIONAL AMOUNT SET FORTH ABOVE.</w:t>
      </w:r>
    </w:p>
    <w:p>
      <w:pPr>
        <w:pStyle w:val="BodyText"/>
        <w:jc w:val="both"/>
        <w:rPr>
          <w:b/>
        </w:rPr>
      </w:pPr>
      <w:r>
        <w:rPr>
          <w:b/>
        </w:rPr>
        <w:t>THIS CLASS XS NOTE WILL NOT BE ENTITLED TO RECEIVE PAYMENTS OR OTHER DISTRIBUTION OF PRINCIPAL.</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r>
        <w:br w:type="page"/>
      </w:r>
    </w:p>
    <w:p>
      <w:pPr>
        <w:pStyle w:val="BodyTextFirstIndent"/>
        <w:jc w:val="both"/>
      </w:pPr>
      <w:r>
        <w:t>This Note is an Initial Exchangeable Note and the Notional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 xml:space="preserve">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 </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Notional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Notional Amount, as requested by the Holder surrendering the same.</w:t>
      </w:r>
    </w:p>
    <w:p>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pPr>
      <w:r>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Notional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Signatureblock"/>
        <w:ind w:left="0"/>
        <w:jc w:val="center"/>
        <w:rPr>
          <w:b/>
        </w:rPr>
      </w:pPr>
      <w:r>
        <w:br w:type="page"/>
      </w:r>
      <w:r>
        <w:rPr>
          <w:b/>
        </w:rPr>
        <w:t>CERTIFICATE OF AUTHENTICATION</w:t>
      </w:r>
    </w:p>
    <w:p>
      <w:pPr>
        <w:pStyle w:val="BodyTextIndent2"/>
        <w:jc w:val="both"/>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sectPr>
          <w:type w:val="continuous"/>
          <w:pgSz w:w="12240" w:h="15840" w:code="1"/>
          <w:pgMar w:top="1440" w:right="1440" w:bottom="1440" w:left="1440" w:header="720" w:footer="720" w:gutter="0"/>
          <w:pgNumType w:start="1"/>
          <w:cols w:space="720"/>
          <w:docGrid w:linePitch="360"/>
        </w:sectPr>
      </w:pPr>
    </w:p>
    <w:p>
      <w:pPr>
        <w:pStyle w:val="Title"/>
        <w:spacing w:after="0"/>
      </w:pPr>
      <w:r>
        <w:t>EXHIBIT A-16</w:t>
      </w:r>
      <w:r>
        <w:br/>
      </w:r>
      <w:r>
        <w:br/>
        <w:t xml:space="preserve">FORM OF CLASS PT RULE 144A GLOBAL NOTE </w:t>
      </w:r>
      <w:r>
        <w:br/>
      </w:r>
      <w:r>
        <w:br/>
        <w:t>CSMC 2022-ATH1 TRUST</w:t>
      </w:r>
      <w:r>
        <w:br/>
        <w:t>MORTGAGE-BACKED NOTES, SERIES 2022-ATH1</w:t>
      </w:r>
    </w:p>
    <w:p>
      <w:pPr>
        <w:pStyle w:val="Title"/>
        <w:spacing w:after="0"/>
      </w:pPr>
      <w:r>
        <w:t>CLASS PT NOTES</w:t>
      </w:r>
    </w:p>
    <w:p>
      <w:pPr>
        <w:pStyle w:val="Title"/>
        <w:spacing w:after="0"/>
      </w:pPr>
      <w:r>
        <w:br/>
      </w:r>
    </w:p>
    <w:p>
      <w:pPr>
        <w:sectPr>
          <w:footerReference w:type="default" r:id="rId48"/>
          <w:headerReference w:type="first" r:id="rId49"/>
          <w:footerReference w:type="first" r:id="rId50"/>
          <w:pgSz w:w="12240" w:h="15840" w:code="1"/>
          <w:pgMar w:top="1440" w:right="1440" w:bottom="1440" w:left="1440" w:header="720" w:footer="720" w:gutter="0"/>
          <w:paperSrc w:first="15" w:other="15"/>
          <w:pgNumType w:start="1"/>
          <w:cols w:space="720"/>
          <w:docGrid w:linePitch="360"/>
        </w:sectPr>
      </w:pPr>
    </w:p>
    <w:p>
      <w:r>
        <w:rPr>
          <w:u w:val="single"/>
        </w:rPr>
        <w:t>Note Rate</w:t>
      </w:r>
      <w:r>
        <w:t>: N/A</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p/>
    <w:p/>
    <w:p/>
    <w:p/>
    <w:p/>
    <w:p/>
    <w:p/>
    <w:p/>
    <w:p/>
    <w:p/>
    <w:p/>
    <w:p/>
    <w:p/>
    <w:p/>
    <w:p/>
    <w:p/>
    <w:p/>
    <w:p/>
    <w:p/>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titlePg/>
          <w:docGrid w:linePitch="360"/>
        </w:sectPr>
      </w:pP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w:t>
      </w:r>
    </w:p>
    <w:p>
      <w:pPr>
        <w:pStyle w:val="MBPBdSingleSp5L"/>
        <w:ind w:firstLine="0"/>
        <w:jc w:val="both"/>
        <w:rPr>
          <w:b/>
        </w:rPr>
      </w:pPr>
      <w:r>
        <w:rPr>
          <w:b/>
        </w:rPr>
        <w:t>EACH INVESTOR IN THIS NOTE WILL BE DEEMED TO REPRESENT AND WARRANT TO THE ISSUER THAT (1) THE INVESTOR IS A QUALIFIED INSTITUTIONAL BUYER; (2) THE INVESTOR IS ACTING FOR ITS OWN ACCOUNT, OR THE ACCOUNT OF ANOTHER QUALIFIED INSTITUTIONAL BUYER; (3) THE INVESTOR IS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MBPBdSingleSp5L"/>
        <w:ind w:firstLine="0"/>
        <w:jc w:val="both"/>
        <w:rPr>
          <w:b/>
        </w:rPr>
      </w:pPr>
      <w:r>
        <w:rPr>
          <w:b/>
        </w:rP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QUALIFIED INSTITUTIONAL BUYER.</w:t>
      </w:r>
    </w:p>
    <w:p>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pStyle w:val="BodyTextFirstIndent"/>
        <w:jc w:val="both"/>
      </w:pPr>
      <w:r>
        <w:br w:type="page"/>
      </w:r>
    </w:p>
    <w:p>
      <w:pPr>
        <w:pStyle w:val="BodyTextFirstIndent"/>
        <w:jc w:val="both"/>
      </w:pPr>
      <w:r>
        <w:t>This Note is an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rPr>
          <w:b/>
          <w:bCs/>
        </w:rPr>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keepLines/>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Qualified Institutional Buyer; (2) the investor is acting for its own account, or the account of another Qualified Institutional Buyer; (3) the investor was not formed for the purpose of investing in the Notes; (4) the investor, and each account for which it is purchasing, will hold and transfer at least the minimum denomination of Notes; (5) the investor understands that the Issuer may receive a list of participants holding positions in the Notes from one or more book-entry depositories; and (6)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Qualified Institutional Buyer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Qualified Institutional Buyer.</w:t>
      </w:r>
    </w:p>
    <w:p>
      <w:pPr>
        <w:pStyle w:val="BodyTextFirstIndent"/>
        <w:jc w:val="both"/>
      </w:pPr>
      <w:r>
        <w:t>Each purchaser and transferee (and if the purchaser or transferee is a Plan, its fiduciary) is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sectPr>
          <w:footerReference w:type="default" r:id="rId51"/>
          <w:pgSz w:w="12240" w:h="15840" w:code="1"/>
          <w:pgMar w:top="1440" w:right="1440" w:bottom="1440" w:left="1440" w:header="720" w:footer="720" w:gutter="0"/>
          <w:pgNumType w:start="1"/>
          <w:cols w:space="720"/>
          <w:docGrid w:linePitch="360"/>
        </w:sectPr>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Title"/>
        <w:spacing w:after="0"/>
      </w:pPr>
      <w:r>
        <w:t>EXHIBIT A-17</w:t>
      </w:r>
      <w:r>
        <w:br/>
      </w:r>
      <w:r>
        <w:br/>
        <w:t>FORM OF CLASS PT TEMPORARY REGULATION S GLOBAL NOTE</w:t>
      </w:r>
      <w:r>
        <w:br/>
      </w:r>
      <w:r>
        <w:br/>
        <w:t>CSMC 2022-ATH1 TRUST</w:t>
      </w:r>
      <w:r>
        <w:br/>
        <w:t>MORTGAGE-BACKED NOTES, SERIES 2022-ATH1</w:t>
      </w:r>
    </w:p>
    <w:p>
      <w:pPr>
        <w:pStyle w:val="Title"/>
        <w:sectPr>
          <w:headerReference w:type="even" r:id="rId52"/>
          <w:headerReference w:type="default" r:id="rId53"/>
          <w:footerReference w:type="even" r:id="rId54"/>
          <w:footerReference w:type="default" r:id="rId55"/>
          <w:headerReference w:type="first" r:id="rId56"/>
          <w:footerReference w:type="first" r:id="rId57"/>
          <w:pgSz w:w="12240" w:h="15840" w:code="1"/>
          <w:pgMar w:top="1440" w:right="1440" w:bottom="1440" w:left="1440" w:header="720" w:footer="720" w:gutter="0"/>
          <w:paperSrc w:first="15" w:other="15"/>
          <w:pgNumType w:start="1"/>
          <w:cols w:space="720"/>
          <w:docGrid w:linePitch="360"/>
        </w:sectPr>
      </w:pPr>
      <w:r>
        <w:t>CLASS PT NOTES</w:t>
      </w:r>
      <w:r>
        <w:br/>
      </w:r>
      <w:r>
        <w:br/>
      </w:r>
    </w:p>
    <w:p>
      <w:r>
        <w:rPr>
          <w:u w:val="single"/>
        </w:rPr>
        <w:t>Note Rate</w:t>
      </w:r>
      <w:r>
        <w:t>: N/A</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pPr>
        <w:rPr>
          <w:u w:val="single"/>
        </w:rPr>
      </w:pPr>
      <w:r>
        <w:rPr>
          <w:u w:val="single"/>
        </w:rPr>
        <w:t>Initial Note Amount</w:t>
      </w:r>
      <w:r>
        <w:t>: $[●]</w:t>
      </w:r>
    </w:p>
    <w:p>
      <w:pPr>
        <w:rPr>
          <w:u w:val="single"/>
        </w:rPr>
      </w:pPr>
    </w:p>
    <w:p>
      <w:pPr>
        <w:rPr>
          <w:u w:val="single"/>
        </w:rPr>
      </w:pPr>
      <w:r>
        <w:rPr>
          <w:u w:val="single"/>
        </w:rPr>
        <w:t>Denomination of this Note</w:t>
      </w:r>
      <w:r>
        <w:t>: $[●]</w:t>
      </w:r>
    </w:p>
    <w:p>
      <w:pPr>
        <w:rPr>
          <w:u w:val="single"/>
        </w:rPr>
      </w:pPr>
    </w:p>
    <w:p>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titlePg/>
          <w:docGrid w:linePitch="360"/>
        </w:sectPr>
      </w:pPr>
    </w:p>
    <w:p>
      <w:pPr>
        <w:sectPr>
          <w:footerReference w:type="default" r:id="rId58"/>
          <w:type w:val="continuous"/>
          <w:pgSz w:w="12240" w:h="15840" w:code="1"/>
          <w:pgMar w:top="1440" w:right="1440" w:bottom="1440" w:left="1440" w:header="720" w:footer="720" w:gutter="0"/>
          <w:paperSrc w:first="15" w:other="15"/>
          <w:cols w:num="2" w:space="720"/>
          <w:docGrid w:linePitch="360"/>
        </w:sectPr>
      </w:pPr>
      <w:r>
        <w:rPr>
          <w:b/>
        </w:rPr>
        <w:br w:type="page"/>
      </w:r>
    </w:p>
    <w:p>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 BE OFFERED, SOLD OR DELIVERED, EXCEPT AS PERMITTED UNDER THE INDENTURE REFERRED TO HEREIN.</w:t>
      </w:r>
    </w:p>
    <w:p>
      <w:pPr>
        <w:pStyle w:val="BodyText"/>
        <w:spacing w:before="240"/>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jc w:val="both"/>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r>
        <w:br w:type="page"/>
      </w:r>
    </w:p>
    <w:p>
      <w:pPr>
        <w:ind w:firstLine="720"/>
        <w:jc w:val="both"/>
      </w:pPr>
      <w:r>
        <w:t>This Note is an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ind w:firstLine="720"/>
        <w:jc w:val="both"/>
      </w:pPr>
    </w:p>
    <w:p>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jc w:val="both"/>
        <w:rPr>
          <w:b/>
          <w:bCs/>
        </w:rPr>
      </w:pP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This Note is a Temporary Regulation S Global Note for purposes of Regulation S under the Securities Act. Interests in this Global Note may be exchanged after the Exchange Date as provided in the Indenture for interests in a Permanent Regulation S Global Note of the same Class and aggregate Note Amount in accordance with the Indenture. The Permanent Regulation S Global Note shall be so issued and delivered in exchange for only that portion of this Temporary Regulation S Global Note in respect of which the Note Registrar has received a certification that the beneficial owner or owners of this Temporary Regulation S Global Note are not U.S. persons as defined in Regulation S.</w:t>
      </w:r>
    </w:p>
    <w:p>
      <w:pPr>
        <w:pStyle w:val="BodyTextFirstIndent"/>
        <w:jc w:val="both"/>
      </w:pPr>
      <w:r>
        <w:t>On an exchange of the whole of this Temporary Regulation S Global Note, this Temporary Regulation S Global Note shall be surrendered to the Note Registrar. On an exchange of only part of this Temporary Regulation S Global Note, details of such exchange shall be entered by or on behalf of the Issuer in the records of the Note Registrar and the Depository (or its nominee). If, following the issue of a Permanent Regulation S Global Note in exchange for only part of this Temporary Regulation S Global Note, further parts of this Temporary Regulation S Global Note are to be exchanged pursuant to this paragraph, such exchange may be effected without the issue of a new Permanent Regulation S Global Note and the details of such exchange shall be entered in the records of the Note Registrar and the Depository (or its nominee).</w:t>
      </w:r>
    </w:p>
    <w:p>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rPr>
          <w:b/>
        </w:rPr>
      </w:pPr>
      <w:r>
        <w:t>Each purchaser and transferee (and if the purchaser or transferee is a Plan, its fiduciary) will be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
      <w:pPr>
        <w:sectPr>
          <w:type w:val="continuous"/>
          <w:pgSz w:w="12240" w:h="15840" w:code="1"/>
          <w:pgMar w:top="1440" w:right="1440" w:bottom="1440" w:left="1440" w:header="720" w:footer="720" w:gutter="0"/>
          <w:paperSrc w:first="15" w:other="15"/>
          <w:cols w:space="720"/>
          <w:docGrid w:linePitch="360"/>
        </w:sectPr>
      </w:pPr>
    </w:p>
    <w:p>
      <w:pPr>
        <w:pStyle w:val="BodyTextFirstIndent"/>
        <w:jc w:val="both"/>
      </w:pPr>
      <w:r>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yline"/>
        <w:tabs>
          <w:tab w:val="left" w:pos="9180"/>
        </w:tabs>
        <w:spacing w:after="480"/>
        <w:ind w:left="0" w:firstLine="0"/>
        <w:jc w:val="center"/>
        <w:rPr>
          <w:b/>
        </w:rP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BodyTextFirstIndent"/>
        <w:jc w:val="center"/>
      </w:pPr>
      <w:r>
        <w:br w:type="page"/>
      </w:r>
      <w:r>
        <w:rPr>
          <w:b/>
        </w:rPr>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BodyTextFirstIndent"/>
      </w:pPr>
    </w:p>
    <w:p>
      <w:pPr>
        <w:pStyle w:val="Title"/>
        <w:sectPr>
          <w:pgSz w:w="12240" w:h="15840" w:code="1"/>
          <w:pgMar w:top="1440" w:right="1440" w:bottom="1440" w:left="1440" w:header="720" w:footer="720" w:gutter="0"/>
          <w:paperSrc w:first="15" w:other="15"/>
          <w:cols w:space="720"/>
          <w:docGrid w:linePitch="360"/>
        </w:sectPr>
      </w:pPr>
    </w:p>
    <w:p>
      <w:pPr>
        <w:pStyle w:val="Title"/>
      </w:pPr>
      <w:r>
        <w:t xml:space="preserve">EXHIBIT A-18 </w:t>
      </w:r>
    </w:p>
    <w:p>
      <w:pPr>
        <w:pStyle w:val="Title"/>
      </w:pPr>
      <w:r>
        <w:t>FORM OF CLASS PT PERMANENT REGULATION S GLOBAL NOTE</w:t>
      </w:r>
    </w:p>
    <w:p>
      <w:pPr>
        <w:pStyle w:val="Title"/>
        <w:spacing w:after="0"/>
      </w:pPr>
      <w:r>
        <w:t>CSMC 2022-ATH1 TRUST</w:t>
      </w:r>
      <w:r>
        <w:br/>
        <w:t>MORTGAGE-BACKED NOTES, SERIES 2022-ATH1</w:t>
      </w:r>
    </w:p>
    <w:p>
      <w:pPr>
        <w:pStyle w:val="Title"/>
        <w:spacing w:after="0"/>
      </w:pPr>
      <w:r>
        <w:t>CLASS PT NOTES</w:t>
      </w:r>
    </w:p>
    <w:p/>
    <w:p/>
    <w:p>
      <w:pPr>
        <w:sectPr>
          <w:footerReference w:type="default" r:id="rId59"/>
          <w:pgSz w:w="12240" w:h="15840" w:code="1"/>
          <w:pgMar w:top="1440" w:right="1440" w:bottom="1440" w:left="1440" w:header="720" w:footer="720" w:gutter="0"/>
          <w:paperSrc w:first="15" w:other="15"/>
          <w:pgNumType w:start="1"/>
          <w:cols w:space="720"/>
          <w:docGrid w:linePitch="360"/>
        </w:sectPr>
      </w:pPr>
    </w:p>
    <w:p>
      <w:r>
        <w:rPr>
          <w:u w:val="single"/>
        </w:rPr>
        <w:t>Note Rate</w:t>
      </w:r>
      <w:r>
        <w:t>: N/A</w:t>
      </w:r>
    </w:p>
    <w:p/>
    <w:p>
      <w:r>
        <w:rPr>
          <w:u w:val="single"/>
        </w:rPr>
        <w:t>Date of Indenture</w:t>
      </w:r>
      <w:r>
        <w:t>: February 22, 2022</w:t>
      </w:r>
    </w:p>
    <w:p/>
    <w:p>
      <w:r>
        <w:rPr>
          <w:u w:val="single"/>
        </w:rPr>
        <w:t>Closing Date</w:t>
      </w:r>
      <w:r>
        <w:t>:  February 22, 2022</w:t>
      </w:r>
    </w:p>
    <w:p/>
    <w:p>
      <w:r>
        <w:rPr>
          <w:u w:val="single"/>
        </w:rPr>
        <w:t>First Payment Date</w:t>
      </w:r>
      <w:r>
        <w:t>: March 25, 2022</w:t>
      </w:r>
    </w:p>
    <w:p/>
    <w:p>
      <w:r>
        <w:rPr>
          <w:u w:val="single"/>
        </w:rPr>
        <w:t>Indenture Trustee</w:t>
      </w:r>
      <w:r>
        <w:t>: Wilmington Savings Fund Society, FSB</w:t>
      </w:r>
    </w:p>
    <w:p/>
    <w:p/>
    <w:p/>
    <w:p>
      <w:r>
        <w:rPr>
          <w:u w:val="single"/>
        </w:rPr>
        <w:t>Note No.</w:t>
      </w:r>
      <w:r>
        <w:t>: [●]</w:t>
      </w:r>
    </w:p>
    <w:p/>
    <w:p>
      <w:r>
        <w:rPr>
          <w:u w:val="single"/>
        </w:rPr>
        <w:t>Initial Note Amount</w:t>
      </w:r>
      <w:r>
        <w:t>: $[●]</w:t>
      </w:r>
    </w:p>
    <w:p/>
    <w:p>
      <w:r>
        <w:rPr>
          <w:u w:val="single"/>
        </w:rPr>
        <w:t>Denomination of this Note</w:t>
      </w:r>
      <w:r>
        <w:t>: $[●]</w:t>
      </w:r>
    </w:p>
    <w:p/>
    <w:p>
      <w:r>
        <w:rPr>
          <w:u w:val="single"/>
        </w:rPr>
        <w:t>Final Scheduled Payment Date</w:t>
      </w:r>
      <w:r>
        <w:t>: Payment Date in January 2067</w:t>
      </w:r>
    </w:p>
    <w:p/>
    <w:p>
      <w:r>
        <w:rPr>
          <w:u w:val="single"/>
        </w:rPr>
        <w:t>CUSIP</w:t>
      </w:r>
      <w:r>
        <w:t>:  [●]</w:t>
      </w:r>
    </w:p>
    <w:p/>
    <w:p>
      <w:r>
        <w:rPr>
          <w:u w:val="single"/>
        </w:rPr>
        <w:t>Issuer</w:t>
      </w:r>
      <w:r>
        <w:t>:  CSMC 2022-ATH1 Trust</w:t>
      </w:r>
    </w:p>
    <w:p/>
    <w:p>
      <w:pPr>
        <w:sectPr>
          <w:type w:val="continuous"/>
          <w:pgSz w:w="12240" w:h="15840" w:code="1"/>
          <w:pgMar w:top="1440" w:right="1440" w:bottom="1440" w:left="1440" w:header="720" w:footer="720" w:gutter="0"/>
          <w:paperSrc w:first="15" w:other="15"/>
          <w:cols w:num="2" w:space="720"/>
          <w:titlePg/>
          <w:docGrid w:linePitch="360"/>
        </w:sectPr>
      </w:pPr>
    </w:p>
    <w:p>
      <w:r>
        <w:rPr>
          <w:b/>
        </w:rPr>
        <w:br w:type="page"/>
      </w:r>
    </w:p>
    <w:p>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OR DELIVERED, EXCEPT AS PERMITTED UNDER THE INDENTURE REFERRED TO HEREIN.</w:t>
      </w:r>
    </w:p>
    <w:p>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OR ENTITY IS WRONGFUL INASMUCH AS THE REGISTERED OWNER HEREOF, CEDE &amp; CO., HAS AN INTEREST HEREIN.</w:t>
      </w:r>
    </w:p>
    <w:p>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 AS AMENDED (THE “INVESTMENT COMPANY ACT”).  ANY RESALE, PLEDGE, TRANSFER OR OTHER DISPOSITION OF THIS NOTE OR ANY INTEREST HEREIN WITHOUT SUCH REGISTRATION OR QUALIFICATION MAY BE MADE ONLY IN A TRANSACTION WHICH DOES NOT REQUIRE SUCH REGISTRATION OR QUALIFICATION AND WHICH IS IN ACCORDANCE WITH THE PROVISIONS OF SECTION 2.04 OF THE INDENTURE REFERRED TO HEREIN.</w:t>
      </w:r>
    </w:p>
    <w:p>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IN THE INDENTURE REFERRED TO HEREIN) EXCEPT PURSUANT TO AN EXEMPTION FROM THE REGISTRATION REQUIREMENTS OF THE SECURITIES ACT.</w:t>
      </w:r>
    </w:p>
    <w:p>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(I) AS PERMITTED UNDER RULE 144A, (II) PURSUANT TO THE REQUIREMENTS OF, OR AN EXEMPTION UNDER, APPLICABLE STATE SECURITIES LAWS AND (III) IN ACCORDANCE WITH THE OTHER RESTRICTIONS ON TRANSFER SET FORTH IN THE INDENTURE OR (B) IN OFFSHORE TRANSACTIONS TO PERSONS THAT ARE NOT U.S. PERSONS (“NON U.S. PERSONS”) WITHIN THE MEANING OF REGULATION S (“REGULATION S) UNDER THE SECURITIES ACT, (I) AS PERMITTED UNDER REGULATION S, (II) PURSUANT TO THE REQUIREMENTS OF, OR AN EXEMPTION UNDER, APPLICABLE STATE SECURITIES LAWS AND (III) IN ACCORDANCE WITH THE OTHER RESTRICTIONS ON TRANSFER SET FORTH IN THE INDENTURE.  </w:t>
      </w:r>
    </w:p>
    <w:p>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PERSON OR ENTITY TO DISPOSE OF ITS NOTES TO A PERSON OR ENTITY THAT IS QUALIFIED TO HOLD THE NOTES IMMEDIATELY UPON RECEIPT OF A NOTICE FROM THE ISSUER THAT THE RELEVANT HOLDER OR BENEFICIAL OWNER WAS NOT A NON U.S. PERSON.</w:t>
      </w:r>
    </w:p>
    <w:p>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 OF THE FOREGOING.</w:t>
      </w:r>
    </w:p>
    <w:p>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PERSON OR ENTITY THAT IS QUALIFIED TO HOLD THE NOTES IMMEDIATELY UPON RECEIPT OF A NOTICE FROM THE ISSUER THAT THE RELEVANT HOLDER OR BENEFICIAL OWNER HAS BREACHED SUCH REPRESENTATIONS AND WARRANTIES.</w:t>
      </w:r>
    </w:p>
    <w:p>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GUARANTEED BY ANY GOVERNMENTAL AGENCY OR INSTRUMENTALITY OR BY ANY OTHER PERSON OR ENTITY.</w:t>
      </w:r>
    </w:p>
    <w:p>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CODE.</w:t>
      </w:r>
    </w:p>
    <w:p>
      <w:pPr>
        <w:pStyle w:val="BodyText"/>
        <w:jc w:val="both"/>
        <w:rPr>
          <w:b/>
        </w:rPr>
      </w:pPr>
    </w:p>
    <w:p>
      <w:pPr>
        <w:pStyle w:val="BodyText"/>
        <w:jc w:val="both"/>
        <w:rPr>
          <w:b/>
        </w:rPr>
        <w:sectPr>
          <w:footerReference w:type="default" r:id="rId60"/>
          <w:type w:val="continuous"/>
          <w:pgSz w:w="12240" w:h="15840" w:code="1"/>
          <w:pgMar w:top="1440" w:right="1440" w:bottom="1440" w:left="1440" w:header="720" w:footer="720" w:gutter="0"/>
          <w:paperSrc w:first="15" w:other="15"/>
          <w:pgNumType w:start="1"/>
          <w:cols w:space="720"/>
          <w:docGrid w:linePitch="360"/>
        </w:sectPr>
      </w:pPr>
    </w:p>
    <w:p>
      <w:pPr>
        <w:pStyle w:val="BodyTextFirstIndent"/>
        <w:jc w:val="both"/>
      </w:pPr>
      <w:r>
        <w:t>This Note is an Exchangeable Note and the Note Amount of this Note may be increased or decreased from time to time in accordance with the Depository’s procedures in connection with exchanges of Notes of this Class for Notes of certain other Classes in accordance with Section 4.20 of the Indenture described herein.</w:t>
      </w:r>
    </w:p>
    <w:p>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February 22, 2022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subject to the terms, provisions and conditions of the Indenture, to which Indenture the Holder of this Note by virtue of the acceptance hereof assents and by which such Holder is bound. In the event of any inconsistency between the provisions of this Note and the Indenture, the provisions of the Indenture shall govern.</w:t>
      </w:r>
    </w:p>
    <w:p>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March 2022.  All payments made under the Indenture on this Note will be made by the Paying Agent, by wire transfer to such account as such Noteholder shall designate by written instruction received by the Paying Agent not later than five (5) business days prior to the Record Date related to the applicable Payment Date. Notwithstanding the foregoing, the final payment on this Note will be made in like manner, but only upon presentation and surrender of this Note at the offices designated by the Note Registrar.  Notwithstanding anything herein to the contrary, no payments will be made with respect to a Note that has previously been surrendered as contemplated by the preceding sentence or, with limited exception, that should have been surrendered as contemplated by the preceding sentence.</w:t>
      </w:r>
    </w:p>
    <w:p>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from time to time for purposes other than, and, in certain cases, prior to, payments to Noteholders, such purposes including, but not limited to, the reimbursement of certain expenses incurred by the Indenture Trustee, the Paying Agent, the Master Servicer, the Certificate Registrar, the Note Registrar, the REMIC Administrator, the Custodian, the Servicers, the Controlling Holder, the Originator, the Sponsor, the Liquidation Agent and the Owner Trustee.</w:t>
      </w:r>
    </w:p>
    <w:p>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 Priority Class with respect thereto shall have been paid in full in accordance with the Indenture, such payment or distribution shall be received and held in trust for the benefit of the Indenture Trustee, and shall forthwith be paid over and delivered to the Paying Agent, and the Paying Agent shall pay and deliver the same to the Noteholders of the applicable Priority Class(es) in accordance with the Indenture; provided, that, if any such payment or distribution is made other than in Cash, it shall be held by or on behalf of the Indenture Trustee as part of the Collateral and subject in all respects to the provisions of the Indenture.</w:t>
      </w:r>
    </w:p>
    <w:p>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such payment is made upon this Note.</w:t>
      </w:r>
    </w:p>
    <w:p>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authorized denominations evidencing the same aggregate Note Amount, as requested by the Holder surrendering the same.</w:t>
      </w:r>
    </w:p>
    <w:p>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  If a transfer of this Note is to be made without registration under the Securities Act (other than in connection with the initial issuance thereof or a transfer thereof by the Issuer or one of its Affiliates), then the Note Registrar shall refuse to register such transfer unless it receives (and upon receipt, may conclusively rely upon) certain certificate(s) required pursuant to Section 2.04 of the Indenture (as to which, so long as this Note is a Book-Entry Note, the representations and agreements made therein will be deemed to have been made by the prospective transferor and/or the prospective transferee, as applicable).   </w:t>
      </w:r>
    </w:p>
    <w:p>
      <w:pPr>
        <w:pStyle w:val="BodyTextFirstIndent"/>
        <w:jc w:val="both"/>
      </w:pPr>
      <w:r>
        <w:t>None of the Sponsor, the Depositor, the Issuer, the Servicers, the Originator, the Master Servicer, the Indenture Trustee, the Paying Agent, the Certificate Registrar, the Note Registrar, the REMIC Administrator, the Custodian, the Owner Trustee or any of their Affiliates is obligated to register or qualify any Notes under the Securities Act or any other securities law or to take any action not otherwise expressly required under the Indenture to permit the transfer of this Note or interest herein without registration or qualification.  Any Noteholder desiring to effect a transfer of this Note or interest herein shall, and does hereby agree to (and by accepting its beneficial interest in a Note shall be deemed to), indemnify the Issuer, the Indenture Trustee (as such or in its individual capacity), the Owner Trustee (as such or in its individual capacity), the Master Servicer, the Paying Agent, the Certificate Registrar, the Note Registrar and the REMIC Administrator against any liability that may result if the transfer is not so exempt or is not made in accordance with such federal and state laws.</w:t>
      </w:r>
    </w:p>
    <w:p>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account for which it is purchasing, will hold and transfer at least the minimum denomination of Notes; (4) the investor understands that the Issuer may receive a list of participants holding positions in the Notes from one or more book-entry depositories; and (5) the investor will provide notice of the transfer restrictions to any subsequent transferees.</w:t>
      </w:r>
    </w:p>
    <w:p>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such Note, the Issuer will have the right, at its option, to require such Holder or beneficial owner to dispose of its Notes to a Person that is qualified to hold the Notes immediately upon receipt of a notice from the Issuer that the relevant Noteholder or beneficial owner was not a Non U.S. Person.</w:t>
      </w:r>
    </w:p>
    <w:p>
      <w:pPr>
        <w:pStyle w:val="BodyTextFirstIndent"/>
        <w:jc w:val="both"/>
        <w:rPr>
          <w:b/>
        </w:rPr>
      </w:pPr>
      <w:r>
        <w:t>Each purchaser and transferee (and if the purchaser or transferee is a Plan, its fiduciary) will be deemed to represent and warrant that such purchaser or transferee is not acquiring the Note (or interest therein) with the assets of a Benefit Plan Investor or Plan that is subject to Similar Law.</w:t>
      </w:r>
    </w:p>
    <w:p>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owner to dispose of this Note to a Person that is qualified to hold the Notes immediately upon receipt of a notice from the Issuer that the relevant Holder or beneficial owner has breached such representations and warranties.</w:t>
      </w:r>
    </w:p>
    <w:p>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and thereupon one or more new Notes in authorized denominations evidencing the same aggregate Note Amount will be issued to the designated transferee or transferees.</w:t>
      </w:r>
    </w:p>
    <w:p>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sufficient to cover any tax or other governmental charge that may be imposed in connection with any transfer or exchange of this Note.</w:t>
      </w:r>
    </w:p>
    <w:p>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Agent, the Note Registrar or any such agent shall be affected by notice to the contrary.</w:t>
      </w:r>
    </w:p>
    <w:p>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Registrar in connection with any such exchanges.</w:t>
      </w:r>
    </w:p>
    <w:p>
      <w:pPr>
        <w:spacing w:after="240"/>
        <w:ind w:firstLine="720"/>
        <w:jc w:val="both"/>
      </w:pPr>
      <w:r>
        <w:t>The Indenture will be discharged (except with respect to certain continuing rights specified in the Indenture) in accordance with the provisions therein.</w:t>
      </w:r>
    </w:p>
    <w:p>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 its own investment decision in respect of such Note. Each Holder also hereby represents that it shall, independently and without reliance upon any party to the Indenture or upon any other Person, and based upon such documents and information as it deems appropriate at the time, continue to make its own decisions in taking or not taking action under the Indenture in connection with the Notes.</w:t>
      </w:r>
    </w:p>
    <w:p>
      <w:pPr>
        <w:pStyle w:val="BodyTextFirstIndent"/>
        <w:jc w:val="both"/>
      </w:pPr>
      <w:r>
        <w:t>Unless the certificate of authentication hereon has been executed by the Note Registrar, by manual signature, this Note shall not be entitled to any benefit under the Indenture or be valid for any purpose.</w:t>
      </w:r>
    </w:p>
    <w:p>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Code. Each Holder of this Note, by acceptance hereof, agrees to treat, and take no action inconsistent with the treatment of, this Note in accordance with the preceding sentence for purposes of U.S. federal income taxes, state and local income and franchise taxes and other taxes imposed on or measured by income.</w:t>
      </w:r>
    </w:p>
    <w:p>
      <w:pPr>
        <w:pStyle w:val="BodyTextFirstIndent"/>
        <w:jc w:val="both"/>
      </w:pPr>
      <w:r>
        <w:t>The registered Holder hereof, by its acceptance hereof, agrees that it will look solely to the Trust Estate (to the extent of its rights therein) for payments hereunder.</w:t>
      </w:r>
    </w:p>
    <w:p>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pPr>
        <w:pStyle w:val="BodyTextFirstIndent"/>
        <w:jc w:val="both"/>
      </w:pPr>
      <w:r>
        <w:br w:type="page"/>
        <w:t>IN WITNESS WHEREOF, the Issuer has caused this instrument to be duly executed.</w:t>
      </w:r>
    </w:p>
    <w:p>
      <w:pPr>
        <w:pStyle w:val="BodyText"/>
      </w:pPr>
      <w:r>
        <w:t>Dated:  ____________________, 2022</w:t>
      </w:r>
    </w:p>
    <w:p>
      <w:pPr>
        <w:pStyle w:val="Signatureblock"/>
        <w:rPr>
          <w:b/>
          <w:bCs/>
        </w:rPr>
      </w:pPr>
      <w:r>
        <w:rPr>
          <w:b/>
          <w:bCs/>
        </w:rPr>
        <w:t>CSMC 2022-ATH1 TRUST</w:t>
      </w:r>
    </w:p>
    <w:p>
      <w:pPr>
        <w:pStyle w:val="SigBlock"/>
      </w:pPr>
      <w:r>
        <w:t xml:space="preserve">By: Wilmington Savings Fund Society, FSB, not in its individual capacity but solely as Owner Trustee </w:t>
      </w:r>
    </w:p>
    <w:p>
      <w:pPr>
        <w:pStyle w:val="SigBlock"/>
      </w:pPr>
      <w:r>
        <w:t>By:</w:t>
      </w:r>
      <w:r>
        <w:rPr>
          <w:u w:val="single"/>
        </w:rPr>
        <w:t xml:space="preserve">                                                                              </w:t>
      </w:r>
      <w:r>
        <w:br/>
        <w:t xml:space="preserve">Name:   </w:t>
      </w:r>
      <w:r>
        <w:br/>
        <w:t>Title:</w:t>
      </w:r>
    </w:p>
    <w:p>
      <w:pPr>
        <w:pStyle w:val="BodyTextFirstIndent"/>
        <w:ind w:firstLine="0"/>
        <w:jc w:val="center"/>
      </w:pPr>
      <w:r>
        <w:br w:type="page"/>
      </w:r>
      <w:r>
        <w:rPr>
          <w:b/>
        </w:rPr>
        <w:t>CERTIFICATE OF AUTHENTICATION</w:t>
      </w:r>
    </w:p>
    <w:p>
      <w:pPr>
        <w:pStyle w:val="BodyTextIndent2"/>
      </w:pPr>
      <w:r>
        <w:t>This is one of the Notes referred to in the within-mentioned Indenture.</w:t>
      </w:r>
    </w:p>
    <w:p>
      <w:pPr>
        <w:pStyle w:val="BodyText"/>
      </w:pPr>
      <w:r>
        <w:t>Dated:  ____________________, 2022</w:t>
      </w:r>
    </w:p>
    <w:p>
      <w:pPr>
        <w:pStyle w:val="Signaturepage"/>
        <w:ind w:left="4680"/>
      </w:pPr>
      <w:r>
        <w:rPr>
          <w:b/>
        </w:rPr>
        <w:t>CITIBANK, N.A.</w:t>
      </w:r>
      <w:r>
        <w:t xml:space="preserve">, </w:t>
      </w:r>
      <w:r>
        <w:br/>
        <w:t>as Note Registrar</w:t>
      </w:r>
      <w:r>
        <w:br/>
      </w:r>
      <w:r>
        <w:br/>
      </w:r>
    </w:p>
    <w:p>
      <w:pPr>
        <w:pStyle w:val="Byline"/>
        <w:tabs>
          <w:tab w:val="left" w:pos="9180"/>
        </w:tabs>
        <w:ind w:firstLine="0"/>
      </w:pPr>
      <w:r>
        <w:t>By:</w:t>
      </w:r>
      <w:r>
        <w:rPr>
          <w:u w:val="single"/>
        </w:rPr>
        <w:t xml:space="preserve"> </w:t>
      </w:r>
      <w:r>
        <w:t>___________________________________</w:t>
      </w:r>
      <w:r>
        <w:br/>
        <w:t xml:space="preserve">Name:  </w:t>
      </w:r>
      <w:r>
        <w:br/>
        <w:t xml:space="preserve">Title:  </w:t>
      </w:r>
    </w:p>
    <w:p>
      <w:pPr>
        <w:pStyle w:val="Title"/>
      </w:pPr>
      <w:r>
        <w:br w:type="page"/>
        <w:t>ASSIGNMENT</w:t>
      </w:r>
    </w:p>
    <w:p>
      <w:pPr>
        <w:pStyle w:val="BodyTextFirstIndent"/>
        <w:jc w:val="both"/>
      </w:pPr>
      <w:r>
        <w:t>FOR VALUE RECEIVED, the undersigned hereby sell(s), assign(s) and transfer(s) unto</w:t>
      </w:r>
    </w:p>
    <w:p>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pPr>
        <w:pStyle w:val="BodyText"/>
        <w:jc w:val="both"/>
      </w:pPr>
      <w:r>
        <w:t>(please print or typewrite name and address including postal zip code of assignee)</w:t>
      </w:r>
    </w:p>
    <w:p>
      <w:pPr>
        <w:pStyle w:val="BodyText"/>
        <w:jc w:val="both"/>
      </w:pPr>
      <w:r>
        <w:t>the beneficial ownership interest in the Trust Estate evidenced by the within Note and hereby authorize(s) the registration of transfer of such interest to assignee on the Note Register of the Trust Estate.</w:t>
      </w:r>
    </w:p>
    <w:p>
      <w:pPr>
        <w:pStyle w:val="BodyTextFirstIndent"/>
        <w:jc w:val="both"/>
      </w:pPr>
      <w:r>
        <w:t>I (we) further direct the Note Registrar to issue a new Note  of the same Class and of a like Percentage Interest to the above named assignee and deliver such Note to the following address:</w:t>
      </w:r>
    </w:p>
    <w:p>
      <w:pPr>
        <w:pStyle w:val="BodyText"/>
        <w:jc w:val="both"/>
      </w:pPr>
      <w:r>
        <w:t>____________________________________________________________________________________________________________________________________________________________</w:t>
      </w:r>
      <w:r>
        <w:br/>
        <w:t>Dated:</w:t>
      </w:r>
    </w:p>
    <w:p>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pPr>
        <w:pStyle w:val="Signature"/>
      </w:pPr>
    </w:p>
    <w:p>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pPr>
        <w:pStyle w:val="Title"/>
        <w:rPr>
          <w:b w:val="0"/>
        </w:rPr>
      </w:pPr>
      <w:r>
        <w:rPr>
          <w:b w:val="0"/>
        </w:rPr>
        <w:t>PAYMENT INSTRUCTIONS</w:t>
      </w:r>
    </w:p>
    <w:p>
      <w:pPr>
        <w:pStyle w:val="BodyTextFirstIndent"/>
        <w:jc w:val="both"/>
      </w:pPr>
      <w:r>
        <w:t>The Assignee should include the following for purposes of payment:</w:t>
      </w:r>
    </w:p>
    <w:p>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pPr>
        <w:pStyle w:val="BodyTextFirstIndent"/>
        <w:jc w:val="both"/>
        <w:sectPr>
          <w:footerReference w:type="default" r:id="rId61"/>
          <w:pgSz w:w="12240" w:h="15840" w:code="1"/>
          <w:pgMar w:top="1440" w:right="1440" w:bottom="1440" w:left="1440" w:header="720" w:footer="720" w:gutter="0"/>
          <w:pgNumType w:start="1"/>
          <w:cols w:space="720"/>
          <w:docGrid w:linePitch="360"/>
        </w:sectPr>
      </w:pPr>
      <w:r>
        <w:t xml:space="preserve"> </w:t>
      </w:r>
    </w:p>
    <w:p>
      <w:pPr>
        <w:pStyle w:val="Subtitle"/>
        <w:rPr>
          <w:b/>
        </w:rPr>
      </w:pPr>
      <w:r>
        <w:rPr>
          <w:b/>
        </w:rPr>
        <w:t>EXHIBIT B-1</w:t>
      </w:r>
      <w:r>
        <w:rPr>
          <w:b/>
        </w:rPr>
        <w:br/>
      </w:r>
      <w:r>
        <w:rPr>
          <w:b/>
        </w:rPr>
        <w:br/>
        <w:t>FORM OF TRANSFEROR RULE 144A CERTIFICATE</w:t>
      </w:r>
    </w:p>
    <w:p>
      <w:pPr>
        <w:pStyle w:val="Subtitle"/>
        <w:rPr>
          <w:b/>
        </w:rPr>
      </w:pPr>
      <w:r>
        <w:rPr>
          <w:b/>
        </w:rPr>
        <w:t>FOR TRANSFERS OF THE RULE 144A GLOBAL NOTES</w:t>
      </w:r>
      <w:r>
        <w:br/>
      </w:r>
      <w:r>
        <w:br/>
        <w:t>[Date]</w:t>
      </w:r>
    </w:p>
    <w:p>
      <w:pPr>
        <w:pStyle w:val="BodyText"/>
      </w:pPr>
      <w:r>
        <w:t>[NOTE REGISTRAR]</w:t>
      </w:r>
    </w:p>
    <w:p>
      <w:pPr>
        <w:pStyle w:val="BodyText"/>
      </w:pPr>
    </w:p>
    <w:p>
      <w:pPr>
        <w:pStyle w:val="LMSubjectRe"/>
        <w:rPr>
          <w:u w:val="single"/>
        </w:rPr>
      </w:pPr>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pPr>
      <w:r>
        <w:t>In connection with the sale by _____________________ (the “</w:t>
      </w:r>
      <w:r>
        <w:rPr>
          <w:u w:val="single"/>
        </w:rPr>
        <w:t>Transferor</w:t>
      </w:r>
      <w:r>
        <w:t>”) to _______________ (the “</w:t>
      </w:r>
      <w:r>
        <w:rPr>
          <w:u w:val="single"/>
        </w:rPr>
        <w:t>Transferee</w:t>
      </w:r>
      <w:r>
        <w:t>”) of the Class [A-1A][A-1B][A-1][A-2][A-3][M-1][B-1][B-2][B-3][A-IO-S][XS][PT] Notes having a [Note Amount][Notional Amount] as of February 22, 2022 (the “</w:t>
      </w:r>
      <w:r>
        <w:rPr>
          <w:u w:val="single"/>
        </w:rPr>
        <w:t>Closing Date</w:t>
      </w:r>
      <w:r>
        <w:t>”) of $_______________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terms used but not otherwise defined herein shall have the respective meanings set forth in the Indenture.  The Transferor hereby certifies, represents and warrants to you, as Note Registrar, and for the benefit of the Issuer, the Indenture Trustee and the Transferee, that:</w:t>
      </w:r>
    </w:p>
    <w:p>
      <w:pPr>
        <w:pStyle w:val="BodyTextFirstIndent2"/>
        <w:jc w:val="both"/>
      </w:pPr>
      <w:r>
        <w:t>1.</w:t>
      </w:r>
      <w:r>
        <w:tab/>
        <w:t>The Transferor is the lawful owner of the Transferred Notes with the full right to transfer such Notes free from any and all claims and encumbrances whatsoever.</w:t>
      </w:r>
    </w:p>
    <w:p>
      <w:pPr>
        <w:pStyle w:val="BodyTextFirstIndent2"/>
        <w:jc w:val="both"/>
      </w:pPr>
    </w:p>
    <w:p>
      <w:pPr>
        <w:pStyle w:val="BodyTextFirstIndent2"/>
        <w:jc w:val="both"/>
      </w:pPr>
      <w:r>
        <w:t>2.</w:t>
      </w:r>
      <w:r>
        <w:tab/>
        <w:t>Neither the Transferor nor anyone acting on its behalf has (a) offered,  transferred, pledged, sold or otherwise disposed of any Note, any interest in any Note or any other similar security to any Person in any manner, (b) solicited any offer to buy or accept a transfer, pledge or other disposition of any Note, any interest in any Note or any other similar security from any Person in any manner, (c) otherwise approached or negotiated with respect to any Note, any interest in any Note or any other similar security with any Person in any manner, (d) made any general solicitation by means of general advertising or in any other manner, or (e) taken any other action, which (in the case of any of the acts described in clauses (a) through (e) hereof) would constitute a distribution of any Note under the Securities Act of 1933, as amended (the “</w:t>
      </w:r>
      <w:r>
        <w:rPr>
          <w:u w:val="single"/>
        </w:rPr>
        <w:t>Securities Act</w:t>
      </w:r>
      <w:r>
        <w:t>”), or would render the disposition of any Note a violation of Section 5 of the Securities Act or any state securities laws, or would require registration or qualification of any Note pursuant to the Securities Act or any state securities laws.</w:t>
      </w:r>
    </w:p>
    <w:p>
      <w:pPr>
        <w:pStyle w:val="BodyTextFirstIndent2"/>
        <w:jc w:val="both"/>
      </w:pPr>
    </w:p>
    <w:p>
      <w:pPr>
        <w:pStyle w:val="BodyTextFirstIndent2"/>
        <w:jc w:val="both"/>
      </w:pPr>
      <w:r>
        <w:t>3.</w:t>
      </w:r>
      <w:r>
        <w:tab/>
        <w:t>The Transferor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Buyer</w:t>
      </w:r>
      <w:r>
        <w:t>”) purchasing for its own account or for the account of a Qualified Institutional Buyer.  In determining whether the Transferee is a Qualified Institutional Buyer, the Transferor and any Person acting on behalf of the Transferor in this matter have relied upon the following method(s) of establishing the Transferee’s ownership and discretionary investments of securities (check one or more):</w:t>
      </w:r>
    </w:p>
    <w:p>
      <w:pPr>
        <w:pStyle w:val="BodyTextFirstIndent2"/>
        <w:jc w:val="both"/>
        <w:rPr>
          <w:u w:val="single"/>
        </w:rPr>
      </w:pPr>
    </w:p>
    <w:p>
      <w:pPr>
        <w:pStyle w:val="HangingIndent1"/>
      </w:pPr>
      <w:r>
        <w:t>___</w:t>
      </w:r>
      <w:r>
        <w:tab/>
        <w:t>(a)</w:t>
      </w:r>
      <w:r>
        <w:tab/>
        <w:t>The Transferee’s most recent publicly available financial statements, which statements present the information as of a date within 16 months preceding the date of sale of the Transferred Note in the case of a U.S. purchaser and within 18 months preceding such date of sale for a foreign purchaser; or</w:t>
      </w:r>
    </w:p>
    <w:p>
      <w:pPr>
        <w:pStyle w:val="HangingIndent1"/>
      </w:pPr>
      <w:r>
        <w:t>___</w:t>
      </w:r>
      <w:r>
        <w:tab/>
        <w:t>(b)</w:t>
      </w:r>
      <w:r>
        <w:tab/>
        <w:t>The most recent publicly available information appearing in 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16 months preceding the date of sale of the Transferred Note in the case of a U.S. purchaser and within 18 months preceding such date of sale for a foreign purchaser; or</w:t>
      </w:r>
    </w:p>
    <w:p>
      <w:pPr>
        <w:pStyle w:val="HangingIndent1"/>
      </w:pPr>
      <w:r>
        <w:t>___</w:t>
      </w:r>
      <w:r>
        <w:tab/>
        <w:t>(c)</w:t>
      </w:r>
      <w:r>
        <w:tab/>
        <w:t>The most recent publicly available information appearing in a recognized securities manual, which information is as of a date within 16 months preceding the date of sale of the Transferred Note in the case of a U.S. purchaser and within 18 months preceding such date of sale for a foreign purchaser; or</w:t>
      </w:r>
    </w:p>
    <w:p>
      <w:pPr>
        <w:pStyle w:val="HangingIndent1"/>
      </w:pPr>
      <w:r>
        <w:t>___</w:t>
      </w:r>
      <w:r>
        <w:tab/>
        <w:t>(d)</w:t>
      </w:r>
      <w:r>
        <w:tab/>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pPr>
        <w:pStyle w:val="BodyTextFirstIndent2"/>
        <w:jc w:val="both"/>
      </w:pPr>
      <w:r>
        <w:t>4.</w:t>
      </w:r>
      <w:r>
        <w:tab/>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pPr>
        <w:pStyle w:val="BlockText"/>
        <w:ind w:left="1440" w:right="0" w:firstLine="0"/>
        <w:jc w:val="both"/>
      </w:pPr>
      <w:r>
        <w:t>(a)</w:t>
      </w:r>
      <w:r>
        <w:tab/>
        <w:t>the following instruments and interests shall be excluded: securities of issuers that are affiliated with the Transferee; securities that are part of an unsold allotment to or subscription by the Transferee, if the Transferee is 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pPr>
        <w:pStyle w:val="BlockText"/>
        <w:ind w:left="1440" w:right="0" w:firstLine="0"/>
        <w:jc w:val="both"/>
      </w:pPr>
    </w:p>
    <w:p>
      <w:pPr>
        <w:pStyle w:val="BlockText"/>
        <w:ind w:left="1440" w:right="0" w:firstLine="0"/>
        <w:jc w:val="both"/>
      </w:pPr>
      <w:r>
        <w:t>(b)</w:t>
      </w:r>
      <w:r>
        <w:tab/>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pPr>
        <w:pStyle w:val="BlockText"/>
        <w:ind w:left="1440" w:right="0" w:firstLine="0"/>
        <w:jc w:val="both"/>
      </w:pPr>
    </w:p>
    <w:p>
      <w:pPr>
        <w:pStyle w:val="BlockText"/>
        <w:ind w:left="1440" w:right="0" w:firstLine="0"/>
        <w:jc w:val="both"/>
      </w:pPr>
      <w:r>
        <w:t>(c)</w:t>
      </w:r>
      <w:r>
        <w:tab/>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majority-owned subsidiary that would be included in the consolidated financial statements of another enterprise.</w:t>
      </w:r>
    </w:p>
    <w:p>
      <w:pPr>
        <w:pStyle w:val="BlockText"/>
        <w:ind w:left="1440" w:right="0" w:firstLine="0"/>
        <w:jc w:val="both"/>
      </w:pPr>
    </w:p>
    <w:p>
      <w:pPr>
        <w:pStyle w:val="BodyTextFirstIndent2"/>
        <w:jc w:val="both"/>
      </w:pPr>
      <w:r>
        <w:t>5.</w:t>
      </w:r>
      <w:r>
        <w:tab/>
        <w:t>The Transferor or a Person acting on its behalf has taken reasonable steps to ensure that the Transferee is aware that the Transferor is relying on the exemption from the provisions of Section 5 of the Securities Act provided by Rule 144A.</w:t>
      </w:r>
    </w:p>
    <w:p>
      <w:pPr>
        <w:pStyle w:val="BodyTextFirstIndent2"/>
        <w:jc w:val="both"/>
      </w:pPr>
    </w:p>
    <w:p>
      <w:pPr>
        <w:pStyle w:val="BodyTextFirstIndent2"/>
        <w:jc w:val="both"/>
      </w:pPr>
      <w:r>
        <w:t>6.</w:t>
      </w:r>
      <w:r>
        <w:tab/>
        <w:t>The Transferor or a Person acting on its behalf has notified the Transferee of all of the transfer restrictions applicable to the Notes and has notified the Transferee that it may be required to sell the Transferred Notes if it is determined that it does not satisfy such transfer restrictions.</w:t>
      </w:r>
    </w:p>
    <w:p>
      <w:pPr>
        <w:pStyle w:val="BodyTextFirstIndent2"/>
        <w:jc w:val="both"/>
      </w:pPr>
    </w:p>
    <w:p>
      <w:pPr>
        <w:pStyle w:val="BodyTextFirstIndent2"/>
        <w:jc w:val="both"/>
      </w:pPr>
    </w:p>
    <w:p>
      <w:pPr>
        <w:pStyle w:val="BodyTextFirstIndent2"/>
        <w:jc w:val="both"/>
      </w:pPr>
      <w:r>
        <w:t>7.</w:t>
      </w:r>
      <w:r>
        <w:tab/>
        <w:t>The Transferor or a Person acting on its behalf has furnished, or caused to be  furnished, to the Transferee all information regarding (a) the Transferred Notes and payments thereon, (b) the nature and performance of the Mortgage Loans and REO Properties, (c) the Indenture and the Trust Estate, and (d) any credit enhancement mechanism associated with the Transferred Notes, that the Transferee has requested.</w:t>
      </w:r>
    </w:p>
    <w:p>
      <w:pPr>
        <w:pStyle w:val="BodyTextFirstIndent2"/>
        <w:jc w:val="both"/>
      </w:pPr>
    </w:p>
    <w:p>
      <w:pPr>
        <w:pStyle w:val="Signature"/>
        <w:ind w:left="4320"/>
      </w:pPr>
      <w:r>
        <w:t>Very truly yours,</w:t>
      </w:r>
      <w:r>
        <w:br/>
      </w:r>
      <w:r>
        <w:br/>
      </w:r>
      <w:r>
        <w:br/>
      </w:r>
      <w:r>
        <w:rPr>
          <w:u w:val="single"/>
        </w:rPr>
        <w:tab/>
      </w:r>
      <w:r>
        <w:rPr>
          <w:u w:val="single"/>
        </w:rPr>
        <w:tab/>
      </w:r>
      <w:r>
        <w:rPr>
          <w:u w:val="single"/>
        </w:rPr>
        <w:tab/>
      </w:r>
      <w:r>
        <w:rPr>
          <w:u w:val="single"/>
        </w:rPr>
        <w:tab/>
      </w:r>
      <w:r>
        <w:br/>
      </w:r>
      <w:r>
        <w:br/>
        <w:t>(Transferor)</w:t>
      </w:r>
      <w:r>
        <w:br/>
      </w:r>
      <w:r>
        <w:br/>
      </w:r>
      <w:r>
        <w:br/>
        <w:t>By:</w:t>
      </w:r>
      <w:r>
        <w:tab/>
      </w:r>
      <w:r>
        <w:rPr>
          <w:u w:val="single"/>
        </w:rPr>
        <w:tab/>
      </w:r>
      <w:r>
        <w:rPr>
          <w:u w:val="single"/>
        </w:rPr>
        <w:tab/>
      </w:r>
      <w:r>
        <w:rPr>
          <w:u w:val="single"/>
        </w:rPr>
        <w:tab/>
      </w:r>
      <w:r>
        <w:br/>
      </w:r>
      <w:r>
        <w:tab/>
        <w:t>Name:</w:t>
      </w:r>
      <w:r>
        <w:br/>
      </w:r>
      <w:r>
        <w:tab/>
        <w:t>Title:</w:t>
      </w:r>
    </w:p>
    <w:p/>
    <w:p>
      <w:pPr>
        <w:sectPr>
          <w:footerReference w:type="default" r:id="rId62"/>
          <w:pgSz w:w="12240" w:h="15840" w:code="1"/>
          <w:pgMar w:top="540" w:right="1440" w:bottom="1170" w:left="1440" w:header="720" w:footer="255" w:gutter="0"/>
          <w:pgNumType w:start="1"/>
          <w:cols w:space="720"/>
          <w:docGrid w:linePitch="360"/>
        </w:sectPr>
      </w:pPr>
    </w:p>
    <w:p>
      <w:pPr>
        <w:pStyle w:val="Subtitle"/>
        <w:rPr>
          <w:b/>
        </w:rPr>
      </w:pPr>
      <w:r>
        <w:rPr>
          <w:b/>
        </w:rPr>
        <w:t>EXHIBIT B-2</w:t>
      </w:r>
      <w:r>
        <w:rPr>
          <w:b/>
        </w:rPr>
        <w:br/>
      </w:r>
      <w:r>
        <w:rPr>
          <w:b/>
        </w:rPr>
        <w:br/>
        <w:t>FORM OF TRANSFEREE RULE 144A TRANSFER CERTIFICATE</w:t>
      </w:r>
      <w:r>
        <w:rPr>
          <w:b/>
        </w:rPr>
        <w:br/>
      </w:r>
      <w:r>
        <w:rPr>
          <w:b/>
        </w:rPr>
        <w:br/>
        <w:t>FOR TRANSFERS OF THE RULE 144A GLOBAL NOTES</w:t>
      </w:r>
      <w:r>
        <w:rPr>
          <w:b/>
        </w:rPr>
        <w:br/>
        <w:t>(INCLUDING ERISA CERTIFICATION)</w:t>
      </w:r>
      <w:r>
        <w:br/>
      </w:r>
      <w:r>
        <w:br/>
        <w:t>[Date]</w:t>
      </w:r>
    </w:p>
    <w:p>
      <w:pPr>
        <w:pStyle w:val="BodyText"/>
      </w:pPr>
      <w:r>
        <w:t>[NOTE REGISTRAR]</w:t>
      </w:r>
    </w:p>
    <w:p>
      <w:pPr>
        <w:pStyle w:val="LMSubjectRe"/>
        <w:rPr>
          <w:u w:val="single"/>
        </w:rPr>
      </w:pPr>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[A-1A][A-1B][A-1][A-2][A-3][M-1][B-1][B-2][B-3][A-IO-S][XS][PT] Notes having a [Note Amount][Notional Amount] as of February 22, 2022 (the “</w:t>
      </w:r>
      <w:r>
        <w:rPr>
          <w:u w:val="single"/>
        </w:rPr>
        <w:t>Closing Date</w:t>
      </w:r>
      <w:r>
        <w:t>”) of $__________________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terms used herein and not otherwise defined shall have the meanings set forth in the Indenture.  The Transferee hereby certifies, represents and warrants to you, as Note Registrar, and for the benefit of the Issuer, the Indenture Trustee and the Transferor, that:</w:t>
      </w:r>
    </w:p>
    <w:p>
      <w:pPr>
        <w:pStyle w:val="BodyTextFirstIndent"/>
        <w:jc w:val="both"/>
      </w:pPr>
      <w:r>
        <w:t>1.</w:t>
      </w:r>
      <w:r>
        <w:tab/>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xml:space="preserve">”), and has completed one of the forms of certification to that effect attached hereto as </w:t>
      </w:r>
      <w:r>
        <w:rPr>
          <w:u w:val="single"/>
        </w:rPr>
        <w:t>Annex 1</w:t>
      </w:r>
      <w:r>
        <w:t xml:space="preserve"> and </w:t>
      </w:r>
      <w:r>
        <w:rPr>
          <w:u w:val="single"/>
        </w:rPr>
        <w:t>Annex 2</w:t>
      </w:r>
      <w:r>
        <w:t>.  The Transferee is aware that the sale to it of the Transferred Notes is being made in reliance on Rule 144A.  The Transferee is acquiring the Transferred Notes for its own account or for the account of a Qualified Institutional Buyer, and understands that such Transferred Notes may be resold, pledged or transferred only (i) to a Person reasonably believed to be a Qualified Institutional Buyer that purchases for its own account or for the account of a Qualified Institutional Buyer to whom notice is given that the resale, pledge or transfer is being made in reliance on Rule 144A, or (ii) pursuant to another exemption from registration under the Securities Act.</w:t>
      </w:r>
    </w:p>
    <w:p>
      <w:pPr>
        <w:pStyle w:val="BodyTextFirstIndent"/>
        <w:jc w:val="both"/>
      </w:pPr>
      <w:r>
        <w:t>2.</w:t>
      </w:r>
      <w:r>
        <w:tab/>
        <w:t>The Transferee has been furnished with all information regarding (a) the Transferred Notes and payments thereon, (b) the nature and performance of the Mortgage Loans and the REO Properties, (c) the Indenture and the Trust Estate, and (d) any credit enhancement mechanism associated with the Transferred Notes, that it has requested.</w:t>
      </w:r>
    </w:p>
    <w:p>
      <w:pPr>
        <w:pStyle w:val="BodyTextFirstIndent"/>
        <w:jc w:val="both"/>
      </w:pPr>
      <w:r>
        <w:t>3.</w:t>
      </w:r>
      <w:r>
        <w:tab/>
        <w:t>The Transferee has provided a correct, complete and properly executed U.S. Internal Revenue Service Form W-9, W-8BEN, W-8BEN-E, W-8IMY (with applicable attachments) or W</w:t>
      </w:r>
      <w:r>
        <w:noBreakHyphen/>
        <w:t>8ECI, as applicable.</w:t>
      </w:r>
    </w:p>
    <w:p>
      <w:pPr>
        <w:pStyle w:val="BodyTextFirstIndent"/>
        <w:jc w:val="both"/>
      </w:pPr>
      <w:r>
        <w:t>4.</w:t>
      </w:r>
      <w:r>
        <w:tab/>
        <w:t xml:space="preserve">[In the case of Class </w:t>
      </w:r>
      <w:r>
        <w:t>[A-1A][A-1B][A-1]</w:t>
      </w:r>
      <w:r>
        <w:t>[A-2][A-3][M-1] Notes, the Transferee (and if the Transferee is a Plan, its fiduciary) is deemed to (a) represent and warrant that either (i) such Transferee is not acquiring the Transferred Notes (or interest therein) with the assets of a Benefit Plan Investor or a Plan that is subject to Similar Law or (ii) the acquisition, holding and disposition of the Transferred Notes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Transferred Notes (or interest therein) may not be acquired by Benefit Plan Investors or Plans that are subject to Similar Law unless, at any time that such Notes are acquired, they are rated at least “BBB-” or its equivalent by a nationally recognized statistical rating organization and such Notes are not treated as other than indebtedness for applicable local law purposes and that the Transferee will so treat such Notes.  The Transferee acknowledges and agrees that if the Issuer determines that Transferee has breached any of the foregoing representations and warranties, the Issuer will have the right, at its option, to require the Transferee to dispose of the Transferred Notes to a Person that is qualified to hold the Transferred Notes immediately upon receipt of a notice from the Issuer that the Transferee has breached such representations and warranties.]</w:t>
      </w:r>
    </w:p>
    <w:p>
      <w:pPr>
        <w:pStyle w:val="BodyTextFirstIndent"/>
        <w:jc w:val="both"/>
      </w:pPr>
      <w:r>
        <w:t xml:space="preserve">[In the case of Class </w:t>
      </w:r>
      <w:r>
        <w:rPr>
          <w:u w:val="single"/>
        </w:rPr>
        <w:t>[B-1][B-2][B-3][A-IO-S][XS][PT]</w:t>
      </w:r>
      <w:r>
        <w:t xml:space="preserve"> Notes, the Transferee (and if the Transferee is a Plan, its fiduciary) is deemed to represent and warrant that such purchaser or transferee is not acquiring such Transferred Notes with assets of a Benefit Plan Investor or a Plan that is subject to Similar Law.  The Transferee acknowledges and agrees that if the Issuer determines that Transferee has breached any of the foregoing representations and warranties, the Issuer will have the right, at its option, to require the Transferee to dispose of the Transferred Notes to a Person that is qualified to hold the Transferred Notes immediately upon receipt of a notice from the Issuer that the Transferee has breached such representations and warranties.]</w:t>
      </w:r>
    </w:p>
    <w:p>
      <w:pPr>
        <w:pStyle w:val="BodyTextFirstIndent"/>
        <w:jc w:val="both"/>
      </w:pPr>
    </w:p>
    <w:p>
      <w:pPr>
        <w:pStyle w:val="Signature"/>
        <w:ind w:left="4320"/>
      </w:pPr>
      <w:r>
        <w:t>Very truly yours,</w:t>
      </w:r>
      <w:r>
        <w:br/>
      </w:r>
      <w:r>
        <w:br/>
      </w:r>
      <w:r>
        <w:br/>
      </w:r>
      <w:r>
        <w:rPr>
          <w:u w:val="single"/>
        </w:rPr>
        <w:tab/>
      </w:r>
      <w:r>
        <w:rPr>
          <w:u w:val="single"/>
        </w:rPr>
        <w:tab/>
      </w:r>
      <w:r>
        <w:rPr>
          <w:u w:val="single"/>
        </w:rPr>
        <w:tab/>
      </w:r>
      <w:r>
        <w:rPr>
          <w:u w:val="single"/>
        </w:rPr>
        <w:tab/>
      </w:r>
      <w:r>
        <w:rPr>
          <w:u w:val="single"/>
        </w:rPr>
        <w:tab/>
      </w:r>
      <w:r>
        <w:br/>
        <w:t>(Transferee)</w:t>
      </w:r>
      <w:r>
        <w:br/>
      </w:r>
      <w:r>
        <w:br/>
      </w:r>
      <w:r>
        <w:br/>
        <w:t>By:</w:t>
      </w:r>
      <w:r>
        <w:tab/>
      </w:r>
      <w:r>
        <w:rPr>
          <w:u w:val="single"/>
        </w:rPr>
        <w:tab/>
      </w:r>
      <w:r>
        <w:rPr>
          <w:u w:val="single"/>
        </w:rPr>
        <w:tab/>
      </w:r>
      <w:r>
        <w:rPr>
          <w:u w:val="single"/>
        </w:rPr>
        <w:tab/>
      </w:r>
      <w:r>
        <w:rPr>
          <w:u w:val="single"/>
        </w:rPr>
        <w:tab/>
      </w:r>
      <w:r>
        <w:br/>
      </w:r>
      <w:r>
        <w:tab/>
        <w:t>Name:</w:t>
      </w:r>
      <w:r>
        <w:br/>
      </w:r>
      <w:r>
        <w:tab/>
        <w:t>Title:</w:t>
      </w:r>
    </w:p>
    <w:p>
      <w:pPr>
        <w:pStyle w:val="FlushRight"/>
        <w:pageBreakBefore/>
        <w:rPr>
          <w:b/>
          <w:u w:val="single"/>
        </w:rPr>
      </w:pPr>
      <w:r>
        <w:rPr>
          <w:b/>
          <w:u w:val="single"/>
        </w:rPr>
        <w:t>ANNEX 1 to EXHIBIT B-2</w:t>
      </w:r>
    </w:p>
    <w:p>
      <w:pPr>
        <w:pStyle w:val="Title"/>
        <w:rPr>
          <w:u w:val="single"/>
        </w:rPr>
      </w:pPr>
      <w:r>
        <w:rPr>
          <w:u w:val="single"/>
        </w:rPr>
        <w:t>QUALIFIED INSTITUTIONAL BUYER STATUS UNDER SEC RULE 144A</w:t>
      </w:r>
    </w:p>
    <w:p>
      <w:pPr>
        <w:pStyle w:val="Subtitle"/>
        <w:rPr>
          <w:i/>
          <w:u w:val="single"/>
        </w:rPr>
      </w:pPr>
      <w:r>
        <w:rPr>
          <w:i/>
        </w:rPr>
        <w:t>[for Transferees other than Registered Investment Companies]</w:t>
      </w:r>
    </w:p>
    <w:p>
      <w:pPr>
        <w:pStyle w:val="BodyTextFirstIndent"/>
        <w:jc w:val="both"/>
      </w:pPr>
      <w:r>
        <w:t>The undersigned hereby certifies as follows to [name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this certification relates and to which this certification is an Annex:</w:t>
      </w:r>
    </w:p>
    <w:p>
      <w:pPr>
        <w:pStyle w:val="BodyTextFirstIndent"/>
        <w:jc w:val="both"/>
      </w:pPr>
      <w:r>
        <w:t>1.</w:t>
      </w:r>
      <w:r>
        <w:tab/>
        <w:t>As indicated below, the undersigned is the chief financial officer, a person  fulfilling an equivalent function, or other executive officer of the entity purchasing the Transferred Notes (the “</w:t>
      </w:r>
      <w:r>
        <w:rPr>
          <w:u w:val="single"/>
        </w:rPr>
        <w:t>Transferee</w:t>
      </w:r>
      <w:r>
        <w:t>”).</w:t>
      </w:r>
    </w:p>
    <w:p>
      <w:pPr>
        <w:pStyle w:val="BodyTextFirstIndent"/>
        <w:jc w:val="both"/>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 $__________________________ in securities (other than the excluded securities referred to below) as of the end of the Transferee’s most recent fiscal year (such amount being calculated in accordance with Rule 144A) and (ii) the Transferee satisfies the criteria in the category marked below.</w:t>
      </w:r>
    </w:p>
    <w:p>
      <w:pPr>
        <w:pStyle w:val="HangingIndent1"/>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pPr>
        <w:pStyle w:val="HangingIndent1"/>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Note in the case of a U.S. bank, and not more than 18 months preceding such date of sale for a foreign bank or equivalent institution.</w:t>
      </w:r>
    </w:p>
    <w:p>
      <w:pPr>
        <w:pStyle w:val="HangingIndent1"/>
      </w:pPr>
      <w:r>
        <w:t>___</w:t>
      </w:r>
      <w:r>
        <w:tab/>
      </w:r>
      <w:r>
        <w:rPr>
          <w:u w:val="single"/>
        </w:rPr>
        <w:t>Savings and Loan</w:t>
      </w:r>
      <w:r>
        <w:t>.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16 months preceding the date of sale of the Note in the case of a U.S. savings and loan association, and not more than 18 months preceding such date of sale for a foreign savings and loan association or equivalent institution.</w:t>
      </w:r>
    </w:p>
    <w:p>
      <w:pPr>
        <w:pStyle w:val="HangingIndent1"/>
      </w:pPr>
      <w:r>
        <w:t>____</w:t>
      </w:r>
      <w:r>
        <w:tab/>
      </w:r>
      <w:r>
        <w:rPr>
          <w:u w:val="single"/>
        </w:rPr>
        <w:t>Broker-dealer</w:t>
      </w:r>
      <w:r>
        <w:t>.  The Transferee is a dealer registered pursuant to Section 15 of the Securities Exchange Act of 1934, as amended.</w:t>
      </w:r>
    </w:p>
    <w:p>
      <w:pPr>
        <w:pStyle w:val="HangingIndent1"/>
      </w:pPr>
      <w:r>
        <w:t>___</w:t>
      </w:r>
      <w:r>
        <w:tab/>
      </w:r>
      <w:r>
        <w:rPr>
          <w:u w:val="single"/>
        </w:rPr>
        <w:t>Insurance Company</w:t>
      </w:r>
      <w: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pPr>
        <w:pStyle w:val="HangingIndent1"/>
      </w:pPr>
      <w:r>
        <w:t>___</w:t>
      </w:r>
      <w:r>
        <w:tab/>
      </w:r>
      <w:r>
        <w:rPr>
          <w:u w:val="single"/>
        </w:rPr>
        <w:t>State or Local Plan</w:t>
      </w:r>
      <w:r>
        <w:t>.  The Transferee is a plan established and maintained by a State, its political subdivisions, or any agency or instrumentality of the State or its political subdivisions, for the benefit of its employees.</w:t>
      </w:r>
    </w:p>
    <w:p>
      <w:pPr>
        <w:pStyle w:val="HangingIndent1"/>
      </w:pPr>
      <w:r>
        <w:t>___</w:t>
      </w:r>
      <w:r>
        <w:tab/>
      </w:r>
      <w:r>
        <w:rPr>
          <w:u w:val="single"/>
        </w:rPr>
        <w:t>ERISA Plan</w:t>
      </w:r>
      <w:r>
        <w:t>.  The Transferee is an employee benefit plan within the meaning of Title I of the Employee Retirement Income Security Act of 1974, as amended.</w:t>
      </w:r>
    </w:p>
    <w:p>
      <w:pPr>
        <w:pStyle w:val="HangingIndent1"/>
      </w:pPr>
      <w:r>
        <w:t>___</w:t>
      </w:r>
      <w:r>
        <w:tab/>
      </w:r>
      <w:r>
        <w:rPr>
          <w:u w:val="single"/>
        </w:rPr>
        <w:t>Investment Advisor</w:t>
      </w:r>
      <w:r>
        <w:t>.  The Transferee is an investment advisor registered under the investment Advisers Act of 1940, as amended.</w:t>
      </w:r>
    </w:p>
    <w:p>
      <w:pPr>
        <w:pStyle w:val="HangingIndent1"/>
        <w:rPr>
          <w:u w:val="single"/>
        </w:rPr>
      </w:pPr>
      <w:r>
        <w:t>___</w:t>
      </w:r>
      <w:r>
        <w:tab/>
      </w:r>
      <w:r>
        <w:rPr>
          <w:u w:val="single"/>
        </w:rPr>
        <w:t>Other</w:t>
      </w:r>
      <w:r>
        <w:t>.  (Please supply a brief description of the entity and a cross-reference to the paragraph and subparagraph under subsection (a)(1) of Rule 144A pursuant to which it qualifies.  Note that registered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Transferee, the Transferee did not include any of the securities referred to in this paragraph.</w:t>
      </w:r>
    </w:p>
    <w:p>
      <w:pPr>
        <w:pStyle w:val="BodyTextFirstIndent"/>
        <w:jc w:val="both"/>
      </w:pPr>
      <w:r>
        <w:t>4.</w:t>
      </w:r>
      <w:r>
        <w:tab/>
        <w:t>For purposes of determining the aggregate amount of securities owned and/or  invested on a discretionary basis by the Transferee, the Transferee used the cost of such securities to the Transferee, unless the Transferee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 However, such securities were not included if the Transferee is a majority-owned, consolidated subsidiary of another enterprise and the Transferee is not itself a reporting company under the Securities Exchange Act of 1934, as amended.</w:t>
      </w:r>
    </w:p>
    <w:p>
      <w:pPr>
        <w:pStyle w:val="BodyTextFirstIndent"/>
        <w:jc w:val="both"/>
      </w:pPr>
      <w:r>
        <w:t>5.</w:t>
      </w:r>
      <w:r>
        <w:tab/>
        <w:t>The Transferee acknowledges that it is familiar with Rule 144A and understands that the Transferor and other parties related to the Transferred Notes are relying and will continue to rely on the statements made herein because one or more sales to the Transferee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3078"/>
        <w:gridCol w:w="649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828"/>
        </w:trPr>
        <w:tc>
          <w:tcPr>
            <w:tcW w:w="3078" w:type="dxa"/>
            <w:vAlign w:val="center"/>
          </w:tcPr>
          <w:p>
            <w:pPr>
              <w:jc w:val="center"/>
            </w:pPr>
            <w:r>
              <w:t>___</w:t>
            </w:r>
            <w:r>
              <w:tab/>
              <w:t>___</w:t>
            </w:r>
            <w:r>
              <w:br/>
              <w:t>Yes     No</w:t>
            </w:r>
          </w:p>
        </w:tc>
        <w:tc>
          <w:tcPr>
            <w:tcW w:w="6498" w:type="dxa"/>
            <w:vAlign w:val="center"/>
          </w:tcPr>
          <w:p>
            <w:r>
              <w:t>Will the Transferee be purchasing the Transferred Notes only for the Transferee’s own account?</w:t>
            </w:r>
          </w:p>
        </w:tc>
      </w:tr>
    </w:tbl>
    <w:p>
      <w:pPr>
        <w:jc w:val="both"/>
      </w:pPr>
    </w:p>
    <w:p>
      <w:pPr>
        <w:pStyle w:val="BodyTextFirstIndent"/>
        <w:jc w:val="both"/>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FirstIndent"/>
        <w:jc w:val="both"/>
      </w:pPr>
      <w:r>
        <w:t>7.</w:t>
      </w:r>
      <w:r>
        <w:tab/>
        <w:t>The Transferee will notify each of the parties to which this certification is made of any changes in the information and conclusions herein. Until such notice is given, the Transferee’s purchase of the Transferred Notes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pPr>
        <w:ind w:left="4320"/>
        <w:rPr>
          <w:u w:val="single"/>
        </w:rPr>
      </w:pPr>
      <w:r>
        <w:rPr>
          <w:u w:val="single"/>
        </w:rPr>
        <w:br w:type="page"/>
      </w:r>
    </w:p>
    <w:p>
      <w:pPr>
        <w:pStyle w:val="FlushRight"/>
        <w:rPr>
          <w:b/>
          <w:u w:val="single"/>
        </w:rPr>
      </w:pPr>
      <w:r>
        <w:rPr>
          <w:b/>
          <w:u w:val="single"/>
        </w:rPr>
        <w:t>ANNEX 2 to EXHIBIT B-2</w:t>
      </w:r>
    </w:p>
    <w:p>
      <w:pPr>
        <w:pStyle w:val="Title"/>
      </w:pPr>
      <w:r>
        <w:t>QUALIFIED INSTITUTIONAL BUYER STATUS UNDER SEC RULE 144A</w:t>
      </w:r>
    </w:p>
    <w:p>
      <w:pPr>
        <w:pStyle w:val="Subtitle"/>
        <w:rPr>
          <w:i/>
          <w:u w:val="single"/>
        </w:rPr>
      </w:pPr>
      <w:r>
        <w:rPr>
          <w:i/>
        </w:rPr>
        <w:t>[for Transferees that are Registered Investment Companies]</w:t>
      </w:r>
    </w:p>
    <w:p>
      <w:pPr>
        <w:pStyle w:val="BodyTextFirstIndent"/>
        <w:jc w:val="both"/>
      </w:pPr>
      <w:r>
        <w:t>The undersigned hereby certifies as follows to [name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this certification relates and to which this certification is an Annex:</w:t>
      </w:r>
    </w:p>
    <w:p>
      <w:pPr>
        <w:pStyle w:val="BodyTextFirstIndent"/>
        <w:jc w:val="both"/>
      </w:pPr>
      <w:r>
        <w:t>1.</w:t>
      </w:r>
      <w:r>
        <w:tab/>
        <w:t>As indicated below, the undersigned is the chief financial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pPr>
        <w:pStyle w:val="BodyTextFirstIndent"/>
        <w:jc w:val="both"/>
      </w:pPr>
      <w:r>
        <w:t>2.</w:t>
      </w:r>
      <w: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pPr>
        <w:pStyle w:val="HangingIndent2"/>
      </w:pPr>
      <w:r>
        <w:t>___</w:t>
      </w:r>
      <w:r>
        <w:tab/>
        <w:t>The Transferee owned and/or invested on a discretionary basis $_______________ in securities (other than the excluded securities referred to below) as of the end of the Transferee’s most recent fiscal year (such amount being calculated in accordance with Rule 144A).</w:t>
      </w:r>
    </w:p>
    <w:p>
      <w:pPr>
        <w:pStyle w:val="HangingIndent2"/>
      </w:pPr>
      <w:r>
        <w:t>___</w:t>
      </w:r>
      <w:r>
        <w:tab/>
        <w:t>The Transferee is part of a Family of Investment Companies which owned in the aggregate $_________________ in securities (other than the excluded securities referred to  below) as of the end of the Transferee’s most recent fiscal year (such amount being calculated in accordance with Rule 144A).</w:t>
      </w:r>
    </w:p>
    <w:p>
      <w:pPr>
        <w:pStyle w:val="BodyTextFirstIndent"/>
        <w:jc w:val="both"/>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pPr>
        <w:pStyle w:val="BodyTextFirstIndent"/>
        <w:jc w:val="both"/>
      </w:pPr>
      <w:r>
        <w:t>4.</w:t>
      </w:r>
      <w:r>
        <w:tab/>
        <w:t>The term “</w:t>
      </w:r>
      <w:r>
        <w:rPr>
          <w:u w:val="single"/>
        </w:rPr>
        <w:t>securities</w:t>
      </w:r>
      <w:r>
        <w:t>” as used herein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pPr>
        <w:pStyle w:val="BodyTextFirstIndent"/>
        <w:jc w:val="both"/>
      </w:pPr>
      <w:r>
        <w:t>5.</w:t>
      </w:r>
      <w:r>
        <w:tab/>
        <w:t>The Transferee is familiar with Rule 144A and understands that the parties to which this certification is being made are relying and will continue to rely on the statements made herein because one or more sales to the Transferee will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3078"/>
        <w:gridCol w:w="649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828"/>
        </w:trPr>
        <w:tc>
          <w:tcPr>
            <w:tcW w:w="3078" w:type="dxa"/>
            <w:vAlign w:val="center"/>
          </w:tcPr>
          <w:p>
            <w:pPr>
              <w:jc w:val="center"/>
            </w:pPr>
            <w:r>
              <w:t>___</w:t>
            </w:r>
            <w:r>
              <w:tab/>
              <w:t>___</w:t>
            </w:r>
            <w:r>
              <w:br/>
              <w:t>Yes     No</w:t>
            </w:r>
          </w:p>
        </w:tc>
        <w:tc>
          <w:tcPr>
            <w:tcW w:w="6498" w:type="dxa"/>
            <w:vAlign w:val="center"/>
          </w:tcPr>
          <w:p>
            <w:r>
              <w:t>Will the Transferee be purchasing the Transferred Notes only for the Transferee’s own account?</w:t>
            </w:r>
          </w:p>
        </w:tc>
      </w:tr>
    </w:tbl>
    <w:p/>
    <w:p>
      <w:pPr>
        <w:pStyle w:val="BodyTextFirstIndent"/>
        <w:jc w:val="both"/>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FirstIndent"/>
        <w:jc w:val="both"/>
      </w:pPr>
      <w:r>
        <w:t>7.</w:t>
      </w:r>
      <w:r>
        <w:tab/>
        <w:t>The undersigned will notify the parties to which this certification is made of any  changes in the information and conclusions herein. Until such notice, the Transferee’s purchase of the Transferred Notes will constitute a reaffirmation of this certification by the undersigned as of the date of such purchase.</w:t>
      </w:r>
    </w:p>
    <w:p>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t>Date:</w:t>
      </w:r>
    </w:p>
    <w:p/>
    <w:p>
      <w:pPr>
        <w:sectPr>
          <w:headerReference w:type="default" r:id="rId63"/>
          <w:footerReference w:type="default" r:id="rId64"/>
          <w:pgSz w:w="12240" w:h="15840" w:code="1"/>
          <w:pgMar w:top="1440" w:right="1440" w:bottom="1440" w:left="1440" w:header="720" w:footer="720" w:gutter="0"/>
          <w:pgNumType w:start="1"/>
          <w:cols w:space="720"/>
          <w:docGrid w:linePitch="360"/>
        </w:sectPr>
      </w:pPr>
    </w:p>
    <w:p>
      <w:pPr>
        <w:pStyle w:val="Subtitle"/>
        <w:rPr>
          <w:b/>
        </w:rPr>
      </w:pPr>
      <w:r>
        <w:rPr>
          <w:b/>
        </w:rPr>
        <w:t>EXHIBIT B-3</w:t>
      </w:r>
      <w:r>
        <w:rPr>
          <w:b/>
        </w:rPr>
        <w:br/>
      </w:r>
      <w:r>
        <w:rPr>
          <w:b/>
        </w:rPr>
        <w:br/>
        <w:t>FORM OF TRANSFEROR REGULATION S TRANSFER CERTIFICATE</w:t>
      </w:r>
    </w:p>
    <w:p>
      <w:pPr>
        <w:pStyle w:val="BodyText"/>
      </w:pPr>
      <w:r>
        <w:t>[Date]</w:t>
      </w:r>
    </w:p>
    <w:p>
      <w:pPr>
        <w:pStyle w:val="BodyText"/>
      </w:pPr>
      <w:r>
        <w:t>[NOTE REGISTRAR]</w:t>
      </w:r>
    </w:p>
    <w:p>
      <w:pPr>
        <w:pStyle w:val="LMSubjectRe"/>
        <w:rPr>
          <w:u w:val="single"/>
        </w:rPr>
      </w:pPr>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pPr>
      <w:r>
        <w:t>Reference is hereby made to the Indenture, dated the February 22, 2022 (as amended, supplemented or otherwise modified from time to time,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Capitalized terms used herein but not defined herein shall have the meanings assigned thereto in the Indenture.</w:t>
      </w:r>
    </w:p>
    <w:p>
      <w:pPr>
        <w:pStyle w:val="BodyTextFirstIndent"/>
        <w:jc w:val="both"/>
      </w:pPr>
      <w:r>
        <w:t>This letter relates to a Note in the amount of U.S. $_____________ which is held in the form of a Rule 144A Global Note (CUSIP No.___________) with the Depository in the name of [name of transferor] (the “</w:t>
      </w:r>
      <w:r>
        <w:rPr>
          <w:u w:val="single"/>
        </w:rPr>
        <w:t>Transferor</w:t>
      </w:r>
      <w:r>
        <w:t>”) to effect [the transfer of the Note to a person who wishes to take delivery thereof in the form of an equivalent beneficial interest in a [Temporary Regulation S Global Note to be held through Euroclear or Clearstream Banking] [Permanent Regulation S Global Note] (the “</w:t>
      </w:r>
      <w:r>
        <w:rPr>
          <w:u w:val="single"/>
        </w:rPr>
        <w:t>Transferee</w:t>
      </w:r>
      <w:r>
        <w:t>”)] [the exchange of the Note for an equivalent beneficial interest in a [Temporary Regulation S Global Note to be held through Euroclear or Clearstream Banking] [Permanent Regulation S Global Note]].</w:t>
      </w:r>
    </w:p>
    <w:p>
      <w:pPr>
        <w:pStyle w:val="BodyTextFirstIndent"/>
        <w:jc w:val="both"/>
      </w:pPr>
      <w:r>
        <w:t>In connection with such request, the Transferor does hereby certify that such [transfer] [exchange] has been effected in accordance with the transfer restrictions set forth in the Indenture and the Memorandum and that the following additional requirements (if applicable) were satisfied:</w:t>
      </w:r>
    </w:p>
    <w:p>
      <w:pPr>
        <w:pStyle w:val="BodyTextFirstIndent2"/>
        <w:jc w:val="both"/>
      </w:pPr>
      <w:r>
        <w:t>(a)</w:t>
      </w:r>
      <w:r>
        <w:tab/>
        <w:t>the offer of the Notes was not made to a Person in the United States;</w:t>
      </w:r>
    </w:p>
    <w:p>
      <w:pPr>
        <w:pStyle w:val="BodyTextFirstIndent2"/>
        <w:jc w:val="both"/>
      </w:pPr>
    </w:p>
    <w:p>
      <w:pPr>
        <w:pStyle w:val="BodyTextFirstIndent2"/>
        <w:jc w:val="both"/>
      </w:pPr>
      <w:r>
        <w:t>(b)</w:t>
      </w:r>
      <w:r>
        <w:tab/>
        <w:t>at the time the buy order was originated, the Transferee was outside the United States or the Transferor and any Person acting on its behalf reasonably believed that the Transferee was outside the United States;</w:t>
      </w:r>
    </w:p>
    <w:p>
      <w:pPr>
        <w:pStyle w:val="BodyTextFirstIndent2"/>
        <w:jc w:val="both"/>
      </w:pPr>
    </w:p>
    <w:p>
      <w:pPr>
        <w:pStyle w:val="BodyTextFirstIndent2"/>
        <w:jc w:val="both"/>
      </w:pPr>
      <w:r>
        <w:t>(c)</w:t>
      </w:r>
      <w:r>
        <w:tab/>
        <w:t>no directed selling efforts were made in contravention of the requirements of Rule 903(b) or 904(b) of Regulation S, as applicable;</w:t>
      </w:r>
    </w:p>
    <w:p>
      <w:pPr>
        <w:pStyle w:val="BodyTextFirstIndent2"/>
        <w:jc w:val="both"/>
      </w:pPr>
    </w:p>
    <w:p>
      <w:pPr>
        <w:pStyle w:val="BodyTextFirstIndent2"/>
        <w:jc w:val="both"/>
      </w:pPr>
      <w:r>
        <w:t>(d)</w:t>
      </w:r>
      <w:r>
        <w:tab/>
        <w:t>the transfer or exchange is not part of a plan or scheme to evade the registration requirements of the Securities Act;</w:t>
      </w:r>
    </w:p>
    <w:p>
      <w:pPr>
        <w:pStyle w:val="BodyTextFirstIndent2"/>
        <w:jc w:val="both"/>
      </w:pPr>
    </w:p>
    <w:p>
      <w:pPr>
        <w:pStyle w:val="BodyTextFirstIndent2"/>
        <w:jc w:val="both"/>
      </w:pPr>
      <w:r>
        <w:t>(e)</w:t>
      </w:r>
      <w:r>
        <w:tab/>
        <w:t>the Transferee is not a U.S. Person, as defined in Regulation S under the Securities Act; and</w:t>
      </w:r>
    </w:p>
    <w:p>
      <w:pPr>
        <w:pStyle w:val="BodyTextFirstIndent2"/>
        <w:jc w:val="both"/>
      </w:pPr>
      <w:r>
        <w:t>(f)</w:t>
      </w:r>
      <w:r>
        <w:tab/>
        <w:t>the transfer or exchange was made in accordance with the applicable provisions of Rule 903(c)(2) or (3) or Rule 904(c)(1), as the case may be.</w:t>
      </w:r>
    </w:p>
    <w:p>
      <w:pPr>
        <w:pStyle w:val="BodyTextFirstIndent2"/>
        <w:jc w:val="both"/>
      </w:pPr>
    </w:p>
    <w:p>
      <w:pPr>
        <w:pStyle w:val="BodyTextFirstIndent"/>
        <w:jc w:val="both"/>
      </w:pPr>
      <w:r>
        <w:t>You, the Indenture Trustee, the Depositor, the Paying Agent and the Issuer are entitled to rely upon this letter and are irrevocably authorized to produce this letter or a copy hereof to any interested party in any administrative or legal proceedings or official inquiry with respect to the matters covered hereby.</w:t>
      </w:r>
    </w:p>
    <w:p>
      <w:pPr>
        <w:pStyle w:val="Signature"/>
        <w:ind w:left="4320"/>
      </w:pPr>
      <w:r>
        <w:t>[Name of Transferor]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r>
    </w:p>
    <w:p/>
    <w:p/>
    <w:p/>
    <w:p/>
    <w:p/>
    <w:p/>
    <w:p>
      <w:pPr>
        <w:pStyle w:val="Subtitle"/>
        <w:rPr>
          <w:b/>
        </w:rPr>
        <w:sectPr>
          <w:headerReference w:type="default" r:id="rId65"/>
          <w:footerReference w:type="default" r:id="rId66"/>
          <w:headerReference w:type="first" r:id="rId67"/>
          <w:footerReference w:type="first" r:id="rId68"/>
          <w:pgSz w:w="12240" w:h="15840" w:code="1"/>
          <w:pgMar w:top="1440" w:right="1440" w:bottom="1440" w:left="1440" w:header="720" w:footer="720" w:gutter="0"/>
          <w:paperSrc w:first="260" w:other="260"/>
          <w:pgNumType w:start="1"/>
          <w:cols w:space="720"/>
          <w:docGrid w:linePitch="360"/>
        </w:sectPr>
      </w:pPr>
    </w:p>
    <w:p>
      <w:pPr>
        <w:pStyle w:val="Subtitle"/>
        <w:rPr>
          <w:b/>
        </w:rPr>
      </w:pPr>
      <w:r>
        <w:rPr>
          <w:b/>
        </w:rPr>
        <w:t>EXHIBIT B-4</w:t>
      </w:r>
      <w:r>
        <w:rPr>
          <w:b/>
        </w:rPr>
        <w:br/>
      </w:r>
      <w:r>
        <w:rPr>
          <w:b/>
        </w:rPr>
        <w:br/>
        <w:t>FORM OF TRANSFEREE REGULATION S TRANSFER CERTIFICATE</w:t>
      </w:r>
      <w:r>
        <w:rPr>
          <w:b/>
        </w:rPr>
        <w:br/>
      </w:r>
      <w:r>
        <w:rPr>
          <w:b/>
        </w:rPr>
        <w:br/>
        <w:t>FOR TRANSFERS OF THE [TEMPORARY][PERMANENT]</w:t>
      </w:r>
      <w:r>
        <w:rPr>
          <w:b/>
        </w:rPr>
        <w:br/>
        <w:t>REGULATION S GLOBAL NOTES</w:t>
      </w:r>
      <w:r>
        <w:rPr>
          <w:b/>
        </w:rPr>
        <w:br/>
        <w:t>(INCLUDING ERISA CERTIFICATION)</w:t>
      </w:r>
    </w:p>
    <w:p>
      <w:pPr>
        <w:pStyle w:val="BodyText"/>
      </w:pPr>
      <w:r>
        <w:t>[Date]</w:t>
      </w:r>
    </w:p>
    <w:p>
      <w:pPr>
        <w:pStyle w:val="BodyText"/>
      </w:pPr>
      <w:r>
        <w:t>[NOTE REGISTRAR]</w:t>
      </w:r>
    </w:p>
    <w:p>
      <w:pPr>
        <w:pStyle w:val="LMSubjectRe"/>
        <w:rPr>
          <w:u w:val="single"/>
        </w:rPr>
      </w:pPr>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[A-1A][A-1B][A-1][A-2][A-3][M-1][B-1][B-2][B-3][A-IO-S][XS][PT] Notes having a [Note Amount][Notional Amount] as of February 22, 2022 (the “</w:t>
      </w:r>
      <w:r>
        <w:rPr>
          <w:u w:val="single"/>
        </w:rPr>
        <w:t>Closing Date</w:t>
      </w:r>
      <w:r>
        <w:t>”) of $__________________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Capitalized terms used herein but not otherwise defined herein shall have the meanings set forth in the Indenture.  The Transferee hereby certifies, represents and warrants to you, as Note Registrar, and for the benefit of the Issuer, the Indenture Trustee and the Transferor, that:</w:t>
      </w:r>
    </w:p>
    <w:p>
      <w:pPr>
        <w:pStyle w:val="BodyTextFirstIndent"/>
        <w:jc w:val="both"/>
      </w:pPr>
      <w:r>
        <w:t>1.</w:t>
      </w:r>
      <w:r>
        <w:tab/>
        <w:t>The Transferee is not a “U.S. person” (a “</w:t>
      </w:r>
      <w:r>
        <w:rPr>
          <w:u w:val="single"/>
        </w:rPr>
        <w:t>Non U.S. Person</w:t>
      </w:r>
      <w:r>
        <w:t>”) as that term is defined in Regulation S (“</w:t>
      </w:r>
      <w:r>
        <w:rPr>
          <w:u w:val="single"/>
        </w:rPr>
        <w:t>Regulation S</w:t>
      </w:r>
      <w:r>
        <w:t>”) under the Securities Act of 1933, as amended (the “</w:t>
      </w:r>
      <w:r>
        <w:rPr>
          <w:u w:val="single"/>
        </w:rPr>
        <w:t>Securities Act</w:t>
      </w:r>
      <w:r>
        <w:t>”).  The Transferee is aware that the sale to it of the Transferred Notes is being made in reliance on Regulation S.  The Transferee is acquiring the Transferred Notes for its own account or for the account of a Non U.S. Person, and understands that such Transferred Notes may be resold, pledged or transferred only (i) to a Person reasonably believed to be a Non U.S. Person that purchases for its own account or for the account of a Non U.S. Person to whom notice is given that the resale, pledge or transfer is being made in reliance on Regulation S, or (ii) pursuant to another exemption from registration under the Securities Act.</w:t>
      </w:r>
    </w:p>
    <w:p>
      <w:pPr>
        <w:pStyle w:val="BodyTextFirstIndent"/>
        <w:jc w:val="both"/>
      </w:pPr>
      <w:r>
        <w:t>2.</w:t>
      </w:r>
      <w:r>
        <w:tab/>
        <w:t>The Transferee has been furnished with all information regarding (a) the Transferred Notes and payments thereon, (b) the nature and performance of the Mortgage Loans and the REO Properties, (c) the Indenture and the Trust Estate, and (d) any credit enhancement mechanism associated with the Transferred Notes, that it has requested.</w:t>
      </w:r>
    </w:p>
    <w:p>
      <w:pPr>
        <w:pStyle w:val="BodyTextFirstIndent"/>
        <w:jc w:val="both"/>
      </w:pPr>
      <w:r>
        <w:t>3.</w:t>
      </w:r>
      <w:r>
        <w:tab/>
        <w:t>The Transferee has provided a correct, complete and properly executed U.S. Internal Revenue Service Form W-9, W-8BEN, W-8BEN-E, W-8IMY (with applicable attachments) or W</w:t>
      </w:r>
      <w:r>
        <w:noBreakHyphen/>
        <w:t>8ECI, as applicable.</w:t>
      </w:r>
    </w:p>
    <w:p>
      <w:pPr>
        <w:pStyle w:val="BodyTextFirstIndent"/>
        <w:jc w:val="both"/>
      </w:pPr>
      <w:r>
        <w:t>4.</w:t>
      </w:r>
      <w:r>
        <w:tab/>
        <w:t>[In the case of Class [A-1A][A-1B][A-1][A-2][A-3][M-1] Notes, the Transferee (and if the Transferee is a Plan, its fiduciary) is deemed to (a) represent and warrant that either (i) such Transferee is not acquiring the Transferred Notes (or interest therein) with the assets of a Benefit Plan Investor or a Plan that is subject to Similar Law or (ii) the acquisition, holding and disposition of the Transferred Notes (or interest therein) will not give rise to, in the case of Benefit Plan Investors, a nonexempt prohibited transaction under Section 406 of ERISA or Section 4975 of the Code or, in the case of a Plan subject to Similar Law, a violation of any Similar Law; and (b) acknowledge and agree that the Transferred Notes (or interest therein) may not be acquired by Benefit Plan Investors or Plans that are subject to Similar Law unless, at any time that such Notes are acquired, they are rated at least “BBB-” or its equivalent by a nationally recognized statistical rating organization and such Notes are not treated as other than indebtedness for applicable local law purposes and that the Transferee will so treat such Notes.  The Transferee acknowledges and agrees that if the Issuer determines that Transferee has breached any of the foregoing representations and warranties, the Issuer will have the right, at its option, to require the Transferee to dispose of the Transferred Notes to a Person that is qualified to hold the Transferred Notes immediately upon receipt of a notice from the Issuer that the Transferee has breached such representations and warranties.]</w:t>
      </w:r>
    </w:p>
    <w:p>
      <w:pPr>
        <w:pStyle w:val="BodyTextFirstIndent"/>
        <w:jc w:val="both"/>
      </w:pPr>
      <w:r>
        <w:t>[In the case of Class [B-1][B-2][B-3][A-IO-S][XS][PT] Notes, the Transferee (and if the Transferee is a Plan, its fiduciary) is deemed to represent and warrant that such purchaser or transferee is not acquiring such Transferred Notes with assets of a Benefit Plan Investor or a Plan that is subject to Similar Law.  The Transferee acknowledges and agrees that if the Issuer determines that Transferee has breached any of the foregoing representations and warranties, the Issuer will have the right, at its option, to require the Transferee to dispose of the Transferred Notes to a Person that is qualified to hold the Transferred Notes immediately upon receipt of a notice from the Issuer that the Transferee has breached such representations and warranties.]</w:t>
      </w:r>
    </w:p>
    <w:p>
      <w:pPr>
        <w:pStyle w:val="BodyTextFirstIndent"/>
        <w:jc w:val="both"/>
      </w:pPr>
    </w:p>
    <w:p>
      <w:pPr>
        <w:pStyle w:val="Title"/>
      </w:pPr>
    </w:p>
    <w:p>
      <w:pPr>
        <w:pStyle w:val="Subtitle"/>
        <w:spacing w:after="0"/>
        <w:rPr>
          <w:b/>
        </w:rPr>
      </w:pPr>
    </w:p>
    <w:p>
      <w:pPr>
        <w:pStyle w:val="BodyTextFirstIndent"/>
        <w:spacing w:after="0"/>
        <w:ind w:left="4320" w:firstLine="0"/>
      </w:pPr>
      <w:r>
        <w:t>[Name of Transferee]</w:t>
      </w:r>
    </w:p>
    <w:p>
      <w:pPr>
        <w:pStyle w:val="BodyTextFirstIndent"/>
        <w:spacing w:after="0"/>
        <w:ind w:left="4320" w:firstLine="0"/>
      </w:pPr>
    </w:p>
    <w:p>
      <w:pPr>
        <w:pStyle w:val="BodyTextFirstIndent"/>
        <w:spacing w:after="0"/>
        <w:ind w:left="4320" w:firstLine="0"/>
      </w:pPr>
      <w:r>
        <w:t>By:     ____________________________________</w:t>
      </w:r>
    </w:p>
    <w:p>
      <w:pPr>
        <w:pStyle w:val="BodyTextFirstIndent"/>
        <w:spacing w:after="0"/>
        <w:ind w:left="4320" w:firstLine="0"/>
      </w:pPr>
      <w:r>
        <w:t xml:space="preserve">          Name:</w:t>
      </w:r>
    </w:p>
    <w:p>
      <w:pPr>
        <w:pStyle w:val="BodyTextFirstIndent"/>
        <w:spacing w:after="0"/>
        <w:ind w:left="4320" w:firstLine="0"/>
        <w:sectPr>
          <w:footerReference w:type="default" r:id="rId69"/>
          <w:pgSz w:w="12240" w:h="15840" w:code="1"/>
          <w:pgMar w:top="1440" w:right="1440" w:bottom="1440" w:left="1440" w:header="720" w:footer="720" w:gutter="0"/>
          <w:paperSrc w:first="260" w:other="260"/>
          <w:pgNumType w:start="1"/>
          <w:cols w:space="720"/>
          <w:docGrid w:linePitch="360"/>
        </w:sectPr>
      </w:pPr>
      <w:r>
        <w:t xml:space="preserve">          Title:</w:t>
      </w:r>
    </w:p>
    <w:p>
      <w:pPr>
        <w:pStyle w:val="Subtitle"/>
        <w:rPr>
          <w:b/>
        </w:rPr>
      </w:pPr>
      <w:r>
        <w:rPr>
          <w:b/>
        </w:rPr>
        <w:t>EXHIBIT B-5</w:t>
      </w:r>
      <w:r>
        <w:rPr>
          <w:b/>
        </w:rPr>
        <w:br/>
      </w:r>
      <w:r>
        <w:rPr>
          <w:b/>
        </w:rPr>
        <w:br/>
        <w:t>FORM OF CLEARING SYSTEM CERTIFICATE</w:t>
      </w:r>
    </w:p>
    <w:p>
      <w:pPr>
        <w:pStyle w:val="BodyText"/>
      </w:pPr>
      <w:r>
        <w:t>[Date]</w:t>
      </w:r>
    </w:p>
    <w:p>
      <w:pPr>
        <w:pStyle w:val="BodyText"/>
      </w:pPr>
      <w:r>
        <w:t>[NOTE REGISTRAR]</w:t>
      </w:r>
    </w:p>
    <w:p>
      <w:pPr>
        <w:pStyle w:val="BodyText"/>
        <w:ind w:left="720" w:hanging="720"/>
      </w:pPr>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pPr>
      <w:r>
        <w:t>Reference is hereby made to the Indenture, dated February 22, 2022 (as amended, supplemented or otherwise modified from time to time, the “</w:t>
      </w:r>
      <w:r>
        <w:rPr>
          <w:u w:val="single"/>
        </w:rPr>
        <w:t>Indenture</w:t>
      </w:r>
      <w:r>
        <w:t>”), among CSMC 2022-ATH1 Trust, as issuer (the “</w:t>
      </w:r>
      <w:r>
        <w:rPr>
          <w:u w:val="single"/>
        </w:rPr>
        <w:t>Issuer</w:t>
      </w:r>
      <w:r>
        <w:t>”), Wilmington Savings Fund Society, FSB, as indenture trustee, Citibank, N.A., as paying agent, as note registrar and as REMIC administrator and Nationstar Mortgage LLC, as master servicer.  Capitalized terms used herein but not defined herein shall have the meanings assigned thereto in the Indenture.</w:t>
      </w:r>
    </w:p>
    <w:p>
      <w:pPr>
        <w:pStyle w:val="BodyTextFirstIndent"/>
        <w:jc w:val="both"/>
      </w:pPr>
      <w:r>
        <w:t>This is to certify that, based solely on certificates we have received in writing, by tested telex or by electronic transmissions from member organizations appearing in our records as Persons being entitled to a portion of the Notes equal to, as of the date hereof, U.S. $_____ (our “</w:t>
      </w:r>
      <w:r>
        <w:rPr>
          <w:u w:val="single"/>
        </w:rPr>
        <w:t>Member Organizations</w:t>
      </w:r>
      <w:r>
        <w:t>”), certifies with respect to such portion, substantially to the effect set forth in Annex A hereto.</w:t>
      </w:r>
    </w:p>
    <w:p>
      <w:pPr>
        <w:pStyle w:val="BodyTextFirstIndent"/>
        <w:jc w:val="both"/>
      </w:pPr>
      <w:r>
        <w:t>We further certify (i) that we are not making available herewith for exchange any portion of the Temporary Regulation S Global Note excepted in such certificates and (ii) that as of the date hereof we have not received any notification from any of our Member Organizations to the effect that the statements made by such Member Organizations with respect to any portion of the part submitted herewith for exchange are no longer true and cannot be relied upon as at the date hereof. We understand that this certification is required in connection with certain securities laws of the United States.  In connection therewith, if administrative or legal proceedings are commenced or threatened in which this certificate is or would be relevant, we irrevocably authorize you to produce this certificate to any interested party in such proceedings.</w:t>
      </w:r>
    </w:p>
    <w:p>
      <w:pPr>
        <w:pStyle w:val="Signature"/>
        <w:ind w:left="4320"/>
      </w:pPr>
      <w:r>
        <w:t>Yours faithfully,</w:t>
      </w:r>
      <w:r>
        <w:br/>
      </w:r>
      <w:r>
        <w:br/>
        <w:t>[CLEARSTREAM BANKING]</w:t>
      </w:r>
      <w:r>
        <w:br/>
      </w:r>
      <w:r>
        <w:br/>
        <w:t>or</w:t>
      </w:r>
      <w:r>
        <w:br/>
      </w:r>
      <w:r>
        <w:br/>
        <w:t>[_____________________________,</w:t>
      </w:r>
      <w:r>
        <w:br/>
        <w:t>Brussels office, as operator of the</w:t>
      </w:r>
      <w:r>
        <w:br/>
        <w:t>Euroclear System]</w:t>
      </w:r>
      <w:r>
        <w:br/>
      </w:r>
    </w:p>
    <w:p>
      <w:pPr>
        <w:pStyle w:val="Signature"/>
        <w:ind w:left="4320"/>
        <w:rPr>
          <w:u w:val="single"/>
        </w:rPr>
      </w:pPr>
      <w:r>
        <w:t>By:</w:t>
      </w:r>
      <w:r>
        <w:tab/>
      </w:r>
      <w:r>
        <w:rPr>
          <w:u w:val="single"/>
        </w:rPr>
        <w:tab/>
      </w:r>
      <w:r>
        <w:rPr>
          <w:u w:val="single"/>
        </w:rPr>
        <w:tab/>
      </w:r>
      <w:r>
        <w:rPr>
          <w:u w:val="single"/>
        </w:rPr>
        <w:tab/>
      </w:r>
      <w:r>
        <w:rPr>
          <w:u w:val="single"/>
        </w:rPr>
        <w:tab/>
      </w:r>
    </w:p>
    <w:p>
      <w:pPr>
        <w:pStyle w:val="FlushRight"/>
        <w:pageBreakBefore/>
      </w:pPr>
      <w:r>
        <w:t>ANNEX A TO EXHIBIT B-5</w:t>
      </w:r>
    </w:p>
    <w:p>
      <w:pPr>
        <w:pStyle w:val="Title"/>
      </w:pPr>
      <w:r>
        <w:t>FORM OF MEMBER ORGANIZATION CERTIFICATE</w:t>
      </w:r>
    </w:p>
    <w:p>
      <w:pPr>
        <w:pStyle w:val="BodyText"/>
      </w:pPr>
      <w:r>
        <w:t>[Address to Euroclear System or Clearstream Banking, as appropriate]</w:t>
      </w:r>
    </w:p>
    <w:p>
      <w:pPr>
        <w:pStyle w:val="ReLine"/>
      </w:pPr>
      <w:r>
        <w:t>Re:</w:t>
      </w:r>
      <w:r>
        <w:tab/>
      </w:r>
      <w:r>
        <w:rPr>
          <w:u w:val="single"/>
        </w:rPr>
        <w:t xml:space="preserve">CSMC 2022-ATH1 Trust Mortgage-Backed Notes, Series 2022-ATH1, Class [A-1A][A-1B][A-1][A-2][A-3][M-1][B-1][B-2][B-3][A-IO-S][XS][PT] Notes </w:t>
      </w:r>
    </w:p>
    <w:p>
      <w:pPr>
        <w:pStyle w:val="BodyText"/>
      </w:pPr>
      <w:r>
        <w:t>Greetings:</w:t>
      </w:r>
    </w:p>
    <w:p>
      <w:pPr>
        <w:pStyle w:val="BodyTextFirstIndent"/>
        <w:jc w:val="both"/>
      </w:pPr>
      <w:r>
        <w:t>Reference is hereby made to the Indenture, dated February 22, 2022 (as amended, supplemented or otherwise modified from time to time, the “</w:t>
      </w:r>
      <w:r>
        <w:rPr>
          <w:u w:val="single"/>
        </w:rPr>
        <w:t>Indenture</w:t>
      </w:r>
      <w:r>
        <w:t>”), among CSMC 2022-ATH1 Trust, as issuer (the “</w:t>
      </w:r>
      <w:r>
        <w:rPr>
          <w:u w:val="single"/>
        </w:rPr>
        <w:t>Issuer</w:t>
      </w:r>
      <w:r>
        <w:t>”), Wilmington Savings Fund Society, FSB, as indenture trustee, Citibank, N.A., as paying agent, as note registrar and as REMIC administrator and Nationstar Mortgage LLC, as master servicer.  Capitalized terms used herein but not defined herein shall have the meanings assigned thereto in the Indenture.</w:t>
      </w:r>
    </w:p>
    <w:p>
      <w:pPr>
        <w:pStyle w:val="BodyTextFirstIndent"/>
        <w:jc w:val="both"/>
      </w:pPr>
      <w:r>
        <w:t>This is to certify that, as of the date hereof and except as set forth below, the Notes (the “</w:t>
      </w:r>
      <w:r>
        <w:rPr>
          <w:u w:val="single"/>
        </w:rPr>
        <w:t>Notes</w:t>
      </w:r>
      <w:r>
        <w:t>”) held by you for our account (i) are beneficially owned by (a) non-U.S. persons or (b) U.S. persons who purchased the Notes in transactions that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pPr>
        <w:pStyle w:val="BodyTextFirstIndent"/>
        <w:jc w:val="both"/>
      </w:pPr>
      <w:r>
        <w:t>We undertake to advise you promptly by tested telex on or prior to the date on which you intend to submit your certification relating to the Notes held by you for our account in accordance with your documented procedures if any applicable statement herein is not correct on such date, and in the absence of any such notification it may be assumed that this certificate applies as of such date.</w:t>
      </w:r>
    </w:p>
    <w:p>
      <w:pPr>
        <w:pStyle w:val="BodyText"/>
      </w:pPr>
      <w:r>
        <w:t>Dated:_______________, 20__</w:t>
      </w:r>
      <w:r>
        <w:rPr>
          <w:vertAlign w:val="superscript"/>
        </w:rPr>
        <w:t>(1)</w:t>
      </w:r>
    </w:p>
    <w:p>
      <w:pPr>
        <w:pStyle w:val="Signature"/>
        <w:ind w:left="4320"/>
      </w:pPr>
      <w:r>
        <w:t>Yours faithfully,</w:t>
      </w:r>
      <w:r>
        <w:br/>
      </w:r>
      <w:r>
        <w:br/>
        <w:t>[Name of Person giving the certificate]</w:t>
      </w:r>
      <w:r>
        <w:br/>
      </w:r>
      <w:r>
        <w:br/>
      </w:r>
      <w:r>
        <w:br/>
      </w:r>
    </w:p>
    <w:p>
      <w:pPr>
        <w:pStyle w:val="BodyText"/>
      </w:pPr>
      <w:r>
        <w:rPr>
          <w:vertAlign w:val="superscript"/>
        </w:rPr>
        <w:t>(1)</w:t>
      </w:r>
      <w:r>
        <w:t xml:space="preserve"> To be dated no earlier than 15 days prior to the event to which the certification relates.</w:t>
      </w:r>
    </w:p>
    <w:p>
      <w:pPr>
        <w:pStyle w:val="Title"/>
        <w:jc w:val="left"/>
        <w:rPr>
          <w:b w:val="0"/>
        </w:rPr>
      </w:pPr>
    </w:p>
    <w:p/>
    <w:p/>
    <w:p/>
    <w:p/>
    <w:p>
      <w:pPr>
        <w:pStyle w:val="Title"/>
        <w:sectPr>
          <w:footerReference w:type="default" r:id="rId70"/>
          <w:pgSz w:w="12240" w:h="15840" w:code="1"/>
          <w:pgMar w:top="1440" w:right="1440" w:bottom="1440" w:left="1440" w:header="720" w:footer="720" w:gutter="0"/>
          <w:paperSrc w:first="260" w:other="260"/>
          <w:pgNumType w:start="1"/>
          <w:cols w:space="720"/>
          <w:docGrid w:linePitch="360"/>
        </w:sectPr>
      </w:pPr>
    </w:p>
    <w:p>
      <w:pPr>
        <w:pStyle w:val="Title"/>
      </w:pPr>
      <w:r>
        <w:t>EXHIBIT B-6</w:t>
      </w:r>
      <w:r>
        <w:br/>
      </w:r>
      <w:r>
        <w:br/>
        <w:t>FORM OF TRANSFEROR DEFINITIVE NOTE TRANSFER CERTIFICATE</w:t>
      </w:r>
      <w:r>
        <w:br/>
      </w:r>
      <w:r>
        <w:br/>
        <w:t>FOR TRANSFERS OF THE DEFINITIVE NOTES</w:t>
      </w:r>
    </w:p>
    <w:p>
      <w:pPr>
        <w:pStyle w:val="Date"/>
        <w:ind w:left="0"/>
        <w:jc w:val="center"/>
      </w:pPr>
      <w:r>
        <w:t>[Date]</w:t>
      </w:r>
    </w:p>
    <w:p>
      <w:pPr>
        <w:pStyle w:val="BodyText"/>
      </w:pPr>
      <w:r>
        <w:t>[NOTE REGISTRAR]</w:t>
      </w:r>
      <w:bookmarkStart w:id="47" w:name="OLE_LINK3"/>
    </w:p>
    <w:p>
      <w:pPr>
        <w:pStyle w:val="LMSubjectRe"/>
        <w:rPr>
          <w:u w:val="single"/>
        </w:rPr>
      </w:pPr>
      <w:bookmarkEnd w:id="47"/>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pPr>
      <w:r>
        <w:t xml:space="preserve">In connection with the sale by </w:t>
      </w:r>
      <w:r>
        <w:rPr>
          <w:u w:val="single"/>
        </w:rPr>
        <w:tab/>
      </w:r>
      <w:r>
        <w:rPr>
          <w:u w:val="single"/>
        </w:rPr>
        <w:tab/>
      </w:r>
      <w:r>
        <w:rPr>
          <w:u w:val="single"/>
        </w:rPr>
        <w:tab/>
      </w:r>
      <w:r>
        <w:rPr>
          <w:u w:val="single"/>
        </w:rPr>
        <w:tab/>
      </w:r>
      <w:r>
        <w:rPr>
          <w:u w:val="single"/>
        </w:rPr>
        <w:tab/>
      </w:r>
      <w:r>
        <w:rPr>
          <w:u w:val="single"/>
        </w:rPr>
        <w:tab/>
      </w:r>
      <w:r>
        <w:rPr>
          <w:u w:val="single"/>
        </w:rPr>
        <w:tab/>
      </w:r>
      <w:r>
        <w:t xml:space="preserve"> (the “</w:t>
      </w:r>
      <w:r>
        <w:rPr>
          <w:u w:val="single"/>
        </w:rPr>
        <w:t>Transferor</w:t>
      </w:r>
      <w:r>
        <w:t xml:space="preserve">”) to </w:t>
      </w:r>
      <w:r>
        <w:rPr>
          <w:u w:val="single"/>
        </w:rPr>
        <w:tab/>
      </w:r>
      <w:r>
        <w:rPr>
          <w:u w:val="single"/>
        </w:rPr>
        <w:tab/>
      </w:r>
      <w:r>
        <w:rPr>
          <w:u w:val="single"/>
        </w:rPr>
        <w:tab/>
      </w:r>
      <w:r>
        <w:rPr>
          <w:u w:val="single"/>
        </w:rPr>
        <w:tab/>
      </w:r>
      <w:r>
        <w:t xml:space="preserve"> (the “</w:t>
      </w:r>
      <w:r>
        <w:rPr>
          <w:u w:val="single"/>
        </w:rPr>
        <w:t>Transferee</w:t>
      </w:r>
      <w:r>
        <w:t>”) of the Class [A-1A][A-1B][A-1][A-2][A-3][M-1][B-1][B-2][B-3][A-IO-S][XS][PT] Notes having an initial aggregate [Note Amount][Notional Amount] as of February 22, 2022 (the “</w:t>
      </w:r>
      <w:r>
        <w:rPr>
          <w:u w:val="single"/>
        </w:rPr>
        <w:t>Closing Date</w:t>
      </w:r>
      <w:r>
        <w:t>”) of $ 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terms used but not otherwise defined herein shall have the respective meanings set forth in the Indenture.  The Transferor hereby certifies, represents and warrants to you, as Note Registrar, and for the benefit of the Issuer, the Indenture Trustee and the Transferee, that:</w:t>
      </w:r>
    </w:p>
    <w:p>
      <w:pPr>
        <w:pStyle w:val="NewStandL1"/>
        <w:numPr>
          <w:ilvl w:val="0"/>
          <w:numId w:val="8"/>
        </w:numPr>
        <w:jc w:val="both"/>
      </w:pPr>
      <w:r>
        <w:t>The Transferor is the lawful owner of the Transferred Notes with the full right to transfer such Notes free from any and all claims and encumbrances whatsoever.</w:t>
      </w:r>
    </w:p>
    <w:p>
      <w:pPr>
        <w:pStyle w:val="NewStandL1"/>
        <w:jc w:val="both"/>
      </w:pPr>
      <w:r>
        <w:t xml:space="preserve">Neither the Transferor nor anyone acting on its behalf has (a) offered, transferred, pledged, sold or otherwise disposed of any Note, any interest in any Note or any other similar security to any Person in any manner, (b) solicited any offer to buy or accept a transfer, pledge or other disposition of any Note, any interest in any Note or any other similar security from any Person in any manner, (c) otherwise approached or negotiated with respect to any Note, any interest in any Note or any other similar security with any Person in any manner,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(e)</w:t>
      </w:r>
      <w:r>
        <w:t xml:space="preserve"> hereof) would constitute a distribution of any Note under the Securities Act of 1933, as amended (the “</w:t>
      </w:r>
      <w:r>
        <w:rPr>
          <w:u w:val="single"/>
        </w:rPr>
        <w:t>Securities Act</w:t>
      </w:r>
      <w:r>
        <w:t>”), or would render the disposition of any Note a violation of Section 5 of the Securities Act or any state securities laws, or would require registration or qualification of any Note pursuant to the Securities Act or any state securities laws.</w:t>
      </w:r>
    </w:p>
    <w:p>
      <w:pPr>
        <w:pStyle w:val="NewStandL1"/>
        <w:numPr>
          <w:ilvl w:val="0"/>
          <w:numId w:val="8"/>
        </w:numPr>
        <w:jc w:val="both"/>
      </w:pPr>
      <w:r>
        <w:t>The Transferor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Buyer</w:t>
      </w:r>
      <w:r>
        <w:t>”) purchasing for its own account or for the account of a Person who is a Qualified Institutional Buyer.  In determining whether the Transferee is a Qualified Institutional Buyer, the Transferor and any Person acting on behalf of the Transferor in this matter have relied upon the following method(s) of establishing the Transferee’s ownership and discretionary investments of securities (check one or more):</w:t>
      </w:r>
    </w:p>
    <w:p>
      <w:pPr>
        <w:pStyle w:val="HangingIndent1"/>
      </w:pPr>
      <w:r>
        <w:t>___</w:t>
      </w:r>
      <w:r>
        <w:tab/>
        <w:t>(a)</w:t>
      </w:r>
      <w:r>
        <w:tab/>
        <w:t>The Transferee’s most recent publicly available financial statements, which statements present the information as of a date within 16 months preceding the date of sale of the Transferred Note in the case of a U.S. purchaser and within 18 months preceding such date of sale for a foreign purchaser; or</w:t>
      </w:r>
    </w:p>
    <w:p>
      <w:pPr>
        <w:pStyle w:val="HangingIndent1"/>
      </w:pPr>
      <w:r>
        <w:t>___</w:t>
      </w:r>
      <w:r>
        <w:tab/>
        <w:t>(b)</w:t>
      </w:r>
      <w:r>
        <w:tab/>
        <w:t>The most recent publicly available information appearing in 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16 months preceding the date of sale of the Transferred Note in the case of a U.S. purchaser and within 18 months preceding such date of sale for a foreign purchaser; or</w:t>
      </w:r>
    </w:p>
    <w:p>
      <w:pPr>
        <w:pStyle w:val="HangingIndent1"/>
      </w:pPr>
      <w:r>
        <w:t>___</w:t>
      </w:r>
      <w:r>
        <w:tab/>
        <w:t>(c)</w:t>
      </w:r>
      <w:r>
        <w:tab/>
        <w:t>The most recent publicly available information appearing in a recognized securities manual, which information is as of a date within 16 months preceding the date of sale of the Transferred Note in the case of a U.S. purchaser and within 18 months preceding such date of sale for a foreign purchaser; or</w:t>
      </w:r>
    </w:p>
    <w:p>
      <w:pPr>
        <w:pStyle w:val="HangingIndent1"/>
      </w:pPr>
      <w:r>
        <w:t>___</w:t>
      </w:r>
      <w:r>
        <w:tab/>
        <w:t>(d)</w:t>
      </w:r>
      <w:r>
        <w:tab/>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pPr>
        <w:pStyle w:val="NewStandL1"/>
        <w:numPr>
          <w:ilvl w:val="0"/>
          <w:numId w:val="8"/>
        </w:numPr>
        <w:jc w:val="both"/>
      </w:pPr>
      <w:r>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pPr>
        <w:pStyle w:val="BlockText"/>
        <w:ind w:left="1440" w:right="0" w:firstLine="0"/>
        <w:jc w:val="both"/>
      </w:pPr>
      <w:r>
        <w:t>(a)</w:t>
      </w:r>
      <w:r>
        <w:tab/>
        <w:t>the following instruments and interests shall be excluded: securities of issuers that are affiliated with the Transferee; securities that are part of an unsold allotment to or subscription by the Transferee, if the Transferee is 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pPr>
        <w:pStyle w:val="BlockText"/>
        <w:ind w:left="1440" w:right="0" w:firstLine="0"/>
        <w:jc w:val="both"/>
      </w:pPr>
    </w:p>
    <w:p>
      <w:pPr>
        <w:pStyle w:val="BlockText"/>
        <w:ind w:left="1440" w:right="0" w:firstLine="0"/>
        <w:jc w:val="both"/>
      </w:pPr>
      <w:r>
        <w:t>(b)</w:t>
      </w:r>
      <w:r>
        <w:tab/>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pPr>
        <w:pStyle w:val="BlockText"/>
        <w:ind w:left="1440" w:right="0" w:firstLine="0"/>
        <w:jc w:val="both"/>
      </w:pPr>
    </w:p>
    <w:p>
      <w:pPr>
        <w:pStyle w:val="BlockText"/>
        <w:ind w:left="1440" w:right="0" w:firstLine="0"/>
        <w:jc w:val="both"/>
      </w:pPr>
      <w:r>
        <w:t>(c)</w:t>
      </w:r>
      <w:r>
        <w:tab/>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majority-owned subsidiary that would be included in the consolidated financial statements of another enterprise.</w:t>
      </w:r>
    </w:p>
    <w:p>
      <w:pPr>
        <w:pStyle w:val="NewStandL1"/>
        <w:numPr>
          <w:ilvl w:val="0"/>
          <w:numId w:val="0"/>
        </w:numPr>
        <w:ind w:left="720"/>
        <w:jc w:val="both"/>
      </w:pPr>
    </w:p>
    <w:p>
      <w:pPr>
        <w:pStyle w:val="NewStandL1"/>
        <w:jc w:val="both"/>
      </w:pPr>
      <w:r>
        <w:t>The Transferor or a Person acting on its behalf has taken reasonable steps to ensure that the Transferee is aware that the Transferor is relying on the exemption from the provisions of Section 5 of the Securities Act provided by Rule 144A.</w:t>
      </w:r>
    </w:p>
    <w:p>
      <w:pPr>
        <w:pStyle w:val="NewStandL1"/>
        <w:jc w:val="both"/>
      </w:pPr>
      <w:r>
        <w:t>The Transferor or a Person acting on its behalf has notified the Transferee of all of the transfer restrictions applicable to the Notes and has notified the Transferee that it may be required to sell the Transferred Notes if it is determined that it does not satisfy such transfer restrictions.</w:t>
      </w:r>
    </w:p>
    <w:p>
      <w:pPr>
        <w:pStyle w:val="NewStandL1"/>
        <w:jc w:val="both"/>
      </w:pPr>
      <w:r>
        <w:t>The Transferor or a Person acting on its behalf has furnished, or caused to be furnished, to the Transferee all information regarding (a) the Transferred Notes and payments thereon, (b) the nature and performance of the Mortgage Loans and the REO Properties, (c) the Indenture and the Trust Estate, and (d) any credit enhancement mechanism associated with the Transferred Notes, that the Transferee has requested.</w:t>
      </w:r>
    </w:p>
    <w:p>
      <w:pPr>
        <w:pStyle w:val="Sig2"/>
      </w:pPr>
      <w:bookmarkStart w:id="48" w:name="OLE_LINK4"/>
      <w:r>
        <w:t xml:space="preserve">Very truly yours, </w:t>
      </w:r>
    </w:p>
    <w:p>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Transferor</w:t>
      </w:r>
      <w:r>
        <w:t>)</w:t>
      </w:r>
    </w:p>
    <w:p>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p>
    <w:p>
      <w:pPr>
        <w:spacing w:after="240"/>
        <w:sectPr>
          <w:footerReference w:type="default" r:id="rId71"/>
          <w:pgSz w:w="12240" w:h="15840" w:code="1"/>
          <w:pgMar w:top="1440" w:right="1440" w:bottom="1440" w:left="1440" w:header="720" w:footer="720" w:gutter="0"/>
          <w:paperSrc w:first="260" w:other="260"/>
          <w:pgNumType w:start="1"/>
          <w:cols w:space="720"/>
          <w:docGrid w:linePitch="360"/>
        </w:sectPr>
      </w:pPr>
      <w:bookmarkEnd w:id="48"/>
    </w:p>
    <w:p>
      <w:pPr>
        <w:pStyle w:val="Title"/>
      </w:pPr>
      <w:r>
        <w:t>EXHIBIT B-7</w:t>
      </w:r>
      <w:r>
        <w:br/>
      </w:r>
      <w:r>
        <w:br/>
        <w:t>FORM OF TRANSFEREE DEFINITIVE NOTE TRANSFER CERTIFICATE</w:t>
      </w:r>
      <w:r>
        <w:br/>
      </w:r>
      <w:r>
        <w:br/>
        <w:t>FOR TRANSFERS OF THE DEFINITIVE NOTES</w:t>
      </w:r>
      <w:r>
        <w:br/>
        <w:t>(INCLUDING ERISA CERTIFICATION)</w:t>
      </w:r>
    </w:p>
    <w:p>
      <w:pPr>
        <w:pStyle w:val="Date"/>
        <w:ind w:left="0"/>
        <w:jc w:val="center"/>
      </w:pPr>
      <w:r>
        <w:t>[Date]</w:t>
      </w:r>
    </w:p>
    <w:p>
      <w:pPr>
        <w:pStyle w:val="MBPBulletDot"/>
        <w:numPr>
          <w:ilvl w:val="0"/>
          <w:numId w:val="0"/>
        </w:numPr>
      </w:pPr>
      <w:r>
        <w:t>[NOTE REGISTRAR]</w:t>
      </w:r>
    </w:p>
    <w:p>
      <w:pPr>
        <w:pStyle w:val="LMSubjectRe"/>
      </w:pPr>
      <w:r>
        <w:t>Re:</w:t>
      </w:r>
      <w:r>
        <w:tab/>
      </w:r>
      <w:r>
        <w:rPr>
          <w:u w:val="single"/>
        </w:rPr>
        <w:t>CSMC 2022-ATH1 Trust Mortgage-Backed Notes, Series 2022-ATH1 Class [A-1A][A-1B][A-1][A-2][A-3][M-1][B-1][B-2][B-3][A-IO-S][XS][PT] Notes (the “Notes”)</w:t>
      </w:r>
    </w:p>
    <w:p>
      <w:pPr>
        <w:pStyle w:val="BodyText"/>
      </w:pPr>
      <w:r>
        <w:t>Greetings:</w:t>
      </w:r>
    </w:p>
    <w:p>
      <w:pPr>
        <w:pStyle w:val="BodyTextFirstIndent"/>
        <w:jc w:val="both"/>
      </w:pPr>
      <w:r>
        <w:rPr>
          <w:u w:val="single"/>
        </w:rPr>
        <w:tab/>
      </w:r>
      <w:r>
        <w:rPr>
          <w:u w:val="single"/>
        </w:rPr>
        <w:tab/>
      </w:r>
      <w:r>
        <w:rPr>
          <w:u w:val="single"/>
        </w:rPr>
        <w:tab/>
      </w:r>
      <w:r>
        <w:rPr>
          <w:u w:val="single"/>
        </w:rPr>
        <w:tab/>
      </w:r>
      <w:r>
        <w:t xml:space="preserve"> (the “</w:t>
      </w:r>
      <w:r>
        <w:rPr>
          <w:u w:val="single"/>
        </w:rPr>
        <w:t>Transferee</w:t>
      </w:r>
      <w:r>
        <w:t>”) intends to purchase from (the “</w:t>
      </w:r>
      <w:r>
        <w:rPr>
          <w:u w:val="single"/>
        </w:rPr>
        <w:t>Transferor</w:t>
      </w:r>
      <w:r>
        <w:t>”) the Class [A-1A][A-1B][A-1][A-2][A-3][M-1][B-1][B-2][B-3][A-IO-S][XS][PT] Notes having an initial aggregate [Note Amount][Notional Amount] as of February 22, 2022 (the “</w:t>
      </w:r>
      <w:r>
        <w:rPr>
          <w:u w:val="single"/>
        </w:rPr>
        <w:t>Closing Date</w:t>
      </w:r>
      <w:r>
        <w:t xml:space="preserve">”) of $ </w:t>
      </w:r>
      <w:r>
        <w:rPr>
          <w:u w:val="single"/>
        </w:rPr>
        <w:tab/>
      </w:r>
      <w:r>
        <w:rPr>
          <w:u w:val="single"/>
        </w:rPr>
        <w:tab/>
      </w:r>
      <w:r>
        <w:t xml:space="preserve">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terms used herein and not otherwise defined shall have the meanings set forth in the Indenture.  The Transferee hereby certifies, represents and warrants to you, as Note Registrar, and for the benefit of the Issuer, the Indenture Trustee and the Transferor, that:</w:t>
      </w:r>
    </w:p>
    <w:p>
      <w:pPr>
        <w:pStyle w:val="NewStandL1"/>
        <w:numPr>
          <w:ilvl w:val="0"/>
          <w:numId w:val="23"/>
        </w:numPr>
        <w:jc w:val="both"/>
      </w:pPr>
      <w:r>
        <w:t>The Transferee (a)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xml:space="preserve">”) and has completed one of the forms of certification to that effect attached hereto as </w:t>
      </w:r>
      <w:r>
        <w:rPr>
          <w:u w:val="single"/>
        </w:rPr>
        <w:t>Annex 1</w:t>
      </w:r>
      <w:r>
        <w:t xml:space="preserve"> and </w:t>
      </w:r>
      <w:r>
        <w:rPr>
          <w:u w:val="single"/>
        </w:rPr>
        <w:t>Annex 2</w:t>
      </w:r>
      <w:r>
        <w:t xml:space="preserve">; (b) is not a broker-dealer which owns and invests on a discretionary basis less than $25 million in securities of unaffiliated issuers; (c) is not a participant-directed employee plan, such as a 401(k) plan; (d) is acting for its own account, or the account of another Qualified Institutional Buyer; (e) was not formed for the purpose of investing in the Transferred Notes; (f) will, and each account for which it is purchasing, will hold and transfer at least the minimum denomination of Transferred Notes; (g) understands that the Issuer may receive a list of participants holding positions in the Transferred Notes from one or more book-entry depositories; and (h) will provide notice of the transfer restrictions to any subsequent transferees.  The Transferee is aware that the sale to it of the Transferred Notes is being made in reliance on Rule 144A.  </w:t>
      </w:r>
    </w:p>
    <w:p>
      <w:pPr>
        <w:pStyle w:val="NewStandL1"/>
        <w:numPr>
          <w:ilvl w:val="0"/>
          <w:numId w:val="8"/>
        </w:numPr>
        <w:jc w:val="both"/>
      </w:pPr>
      <w:r>
        <w:t>The Transferee acknowledges and agrees that if the Issuer determines that the Transferee was not a Qualified Institutional Buyer at the time of its acquisition of the Transferred Notes, the Issuer will have the right, at its option, to require the Transferee to dispose of its Notes to a Person that is qualified to hold the Notes immediately upon receipt of a notice from the Issuer that the Transferee was not a Qualified Institutional Buyer.</w:t>
      </w:r>
    </w:p>
    <w:p>
      <w:pPr>
        <w:pStyle w:val="NewStandL1"/>
        <w:keepLines/>
        <w:jc w:val="both"/>
      </w:pPr>
      <w:r>
        <w:t>The Transferee has been furnished with all information regarding (a) the Transferred Notes and payments thereon, (b) the nature and performance of the Mortgage Loans and REO Properties, (c) the Indenture and the Trust Estate, and (d) any credit enhancement mechanism associated with the Transferred Notes, that it has requested.</w:t>
      </w:r>
    </w:p>
    <w:p>
      <w:pPr>
        <w:pStyle w:val="NewStandL1"/>
        <w:keepLines/>
        <w:jc w:val="both"/>
      </w:pPr>
      <w:r>
        <w:t>The Transferee has provided a correct, complete and properly executed U.S. Internal Revenue Service Form W-9, W-8BEN, W-8BEN-E, W-8IMY (with applicable attachments) or W 8ECI, as applicable.</w:t>
      </w:r>
    </w:p>
    <w:p>
      <w:pPr>
        <w:pStyle w:val="NewStandL1"/>
      </w:pPr>
      <w:r>
        <w:t>[In the case of Class [A-1A][A-1B][A-1][A-2][A-3][M-1] Notes, the Transferee (and if the Transferee is a Plan, its fiduciary) (a) represents and warrants that either (i) such Transferee is not acquiring the Transferred Notes (or interest therein) with the assets of a Benefit Plan Investor or a Plan that is subject to Similar Law or (ii) the acquisition, holding and disposition of the Transferred Notes (or interest therein) will not give rise to, in the case of Benefit Plan Investors, a nonexempt prohibited transaction under Section 406 of ERISA or Section 4975 of the Code or, in the case of a Plan subject to Similar Law, a violation of any Similar Law; and (b) acknowledges and agrees that the Transferred Notes (or interest therein) may not be acquired by Benefit Plan Investors or Plans that are subject to Similar Law unless, at any time that such Notes are acquired, they are rated at least “BBB-” or its equivalent by a nationally recognized statistical rating organization and such Notes are not treated as other than indebtedness for applicable local law purposes and that the Transferee will so treat such Notes.  The Transferee acknowledges and agrees that if the Issuer determines that Transferee has breached any of the foregoing representations and warranties, the Issuer will have the right, at its option, to require the Transferee to dispose of the Transferred Notes to a Person that is qualified to hold the Transferred Notes immediately upon receipt of a notice from the Issuer that the Transferee has breached such representations and warranties.]</w:t>
      </w:r>
    </w:p>
    <w:p>
      <w:pPr>
        <w:pStyle w:val="NewStandL1"/>
        <w:keepLines/>
        <w:numPr>
          <w:ilvl w:val="0"/>
          <w:numId w:val="0"/>
        </w:numPr>
        <w:ind w:firstLine="720"/>
        <w:jc w:val="both"/>
      </w:pPr>
      <w:r>
        <w:t>[In the case of Class [B-1][B-2][B-3][A-IO-S][XS][PT] Notes, the Transferee (and if the Transferee is a Plan, its fiduciary) represents and warrants that such purchaser or transferee is not acquiring such Transferred Notes with assets of a Benefit Plan Investor or a Plan that is subject to Similar Law.  The Transferee acknowledges and agrees that if the Issuer determines that Transferee has breached any of the foregoing representations and warranties, the Issuer will have the right, at its option, to require the Transferee to dispose of the Transferred Notes to a Person that is qualified to hold the Transferred Notes immediately upon receipt of a notice from the Issuer that the Transferee has breached such representations and warranties.]</w:t>
      </w:r>
    </w:p>
    <w:p>
      <w:pPr>
        <w:pStyle w:val="BodyText"/>
      </w:pPr>
    </w:p>
    <w:p>
      <w:pPr>
        <w:pStyle w:val="NewStandL1"/>
        <w:numPr>
          <w:ilvl w:val="0"/>
          <w:numId w:val="0"/>
        </w:numPr>
        <w:ind w:left="720"/>
      </w:pPr>
    </w:p>
    <w:p>
      <w:pPr>
        <w:pStyle w:val="Sig2"/>
      </w:pPr>
      <w:r>
        <w:t>Very truly yours,</w:t>
      </w:r>
    </w:p>
    <w:p>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Transferee</w:t>
      </w:r>
      <w:r>
        <w:t>)</w:t>
      </w:r>
    </w:p>
    <w:p>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r>
        <w:br w:type="page"/>
      </w:r>
    </w:p>
    <w:p>
      <w:pPr>
        <w:pStyle w:val="FlushRight"/>
        <w:pageBreakBefore/>
        <w:rPr>
          <w:b/>
          <w:u w:val="single"/>
        </w:rPr>
      </w:pPr>
      <w:r>
        <w:rPr>
          <w:b/>
          <w:u w:val="single"/>
        </w:rPr>
        <w:t>ANNEX 1 to EXHIBIT B-7</w:t>
      </w:r>
    </w:p>
    <w:p>
      <w:pPr>
        <w:pStyle w:val="Title"/>
        <w:rPr>
          <w:u w:val="single"/>
        </w:rPr>
      </w:pPr>
      <w:r>
        <w:rPr>
          <w:u w:val="single"/>
        </w:rPr>
        <w:t>QUALIFIED INSTITUTIONAL BUYER STATUS UNDER SEC RULE 144A</w:t>
      </w:r>
    </w:p>
    <w:p>
      <w:pPr>
        <w:pStyle w:val="Subtitle"/>
        <w:rPr>
          <w:i/>
          <w:u w:val="single"/>
        </w:rPr>
      </w:pPr>
      <w:r>
        <w:rPr>
          <w:i/>
        </w:rPr>
        <w:t>[for Transferees other than Registered Investment Companies]</w:t>
      </w:r>
    </w:p>
    <w:p>
      <w:pPr>
        <w:pStyle w:val="BodyTextFirstIndent"/>
        <w:jc w:val="both"/>
      </w:pPr>
      <w:r>
        <w:t>The undersigned hereby certifies as follows to [name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this certification relates and to which this certification is an Annex:</w:t>
      </w:r>
    </w:p>
    <w:p>
      <w:pPr>
        <w:pStyle w:val="BodyTextFirstIndent"/>
        <w:jc w:val="both"/>
      </w:pPr>
      <w:r>
        <w:t>1.</w:t>
      </w:r>
      <w:r>
        <w:tab/>
        <w:t>As indicated below, the undersigned is the chief financial officer, a person  fulfilling an equivalent function, or other executive officer of the entity purchasing the Transferred Notes (the “</w:t>
      </w:r>
      <w:r>
        <w:rPr>
          <w:u w:val="single"/>
        </w:rPr>
        <w:t>Transferee</w:t>
      </w:r>
      <w:r>
        <w:t>”).</w:t>
      </w:r>
    </w:p>
    <w:p>
      <w:pPr>
        <w:pStyle w:val="BodyTextFirstIndent"/>
        <w:jc w:val="both"/>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 $__________________________ in securities (other than the excluded securities referred to below) as of the end of the Transferee’s most recent fiscal year (such amount being calculated in accordance with Rule 144A) and (ii) the Transferee satisfies the criteria in the category marked below.</w:t>
      </w:r>
    </w:p>
    <w:p>
      <w:pPr>
        <w:pStyle w:val="HangingIndent1"/>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pPr>
        <w:pStyle w:val="HangingIndent1"/>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Note in the case of a U.S. bank, and not more than 18 months preceding such date of sale for a foreign bank or equivalent institution.</w:t>
      </w:r>
    </w:p>
    <w:p>
      <w:pPr>
        <w:pStyle w:val="HangingIndent1"/>
      </w:pPr>
      <w:r>
        <w:t>___</w:t>
      </w:r>
      <w:r>
        <w:tab/>
      </w:r>
      <w:r>
        <w:rPr>
          <w:u w:val="single"/>
        </w:rPr>
        <w:t>Savings and Loan</w:t>
      </w:r>
      <w:r>
        <w:t>.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16 months preceding the date of sale of the Note in the case of a U.S. savings and loan association, and not more than 18 months preceding such date of sale for a foreign savings and loan association or equivalent institution.</w:t>
      </w:r>
    </w:p>
    <w:p>
      <w:pPr>
        <w:pStyle w:val="HangingIndent1"/>
      </w:pPr>
      <w:r>
        <w:t>____</w:t>
      </w:r>
      <w:r>
        <w:tab/>
      </w:r>
      <w:r>
        <w:rPr>
          <w:u w:val="single"/>
        </w:rPr>
        <w:t>Broker-dealer</w:t>
      </w:r>
      <w:r>
        <w:t>.  The Transferee is a dealer registered pursuant to Section 15 of the Securities Exchange Act of 1934, as amended.</w:t>
      </w:r>
    </w:p>
    <w:p>
      <w:pPr>
        <w:pStyle w:val="HangingIndent1"/>
      </w:pPr>
      <w:r>
        <w:t>___</w:t>
      </w:r>
      <w:r>
        <w:tab/>
      </w:r>
      <w:r>
        <w:rPr>
          <w:u w:val="single"/>
        </w:rPr>
        <w:t>Insurance Company</w:t>
      </w:r>
      <w: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pPr>
        <w:pStyle w:val="HangingIndent1"/>
      </w:pPr>
      <w:r>
        <w:t>___</w:t>
      </w:r>
      <w:r>
        <w:tab/>
      </w:r>
      <w:r>
        <w:rPr>
          <w:u w:val="single"/>
        </w:rPr>
        <w:t>State or Local Plan</w:t>
      </w:r>
      <w:r>
        <w:t>.  The Transferee is a plan established and maintained by a State, its political subdivisions, or any agency or instrumentality of the State or its political subdivisions, for the benefit of its employees.</w:t>
      </w:r>
    </w:p>
    <w:p>
      <w:pPr>
        <w:pStyle w:val="HangingIndent1"/>
      </w:pPr>
      <w:r>
        <w:t>___</w:t>
      </w:r>
      <w:r>
        <w:tab/>
      </w:r>
      <w:r>
        <w:rPr>
          <w:u w:val="single"/>
        </w:rPr>
        <w:t>ERISA Plan</w:t>
      </w:r>
      <w:r>
        <w:t>.  The Transferee is an employee benefit plan within the meaning of Title I of the Employee Retirement Income Security Act of 1974.</w:t>
      </w:r>
    </w:p>
    <w:p>
      <w:pPr>
        <w:pStyle w:val="HangingIndent1"/>
      </w:pPr>
      <w:r>
        <w:t>___</w:t>
      </w:r>
      <w:r>
        <w:tab/>
      </w:r>
      <w:r>
        <w:rPr>
          <w:u w:val="single"/>
        </w:rPr>
        <w:t>Investment Advisor</w:t>
      </w:r>
      <w:r>
        <w:t>.  The Transferee is an investment advisor registered under the investment Advisers Act of 1940, as amended.</w:t>
      </w:r>
    </w:p>
    <w:p>
      <w:pPr>
        <w:pStyle w:val="HangingIndent1"/>
        <w:rPr>
          <w:u w:val="single"/>
        </w:rPr>
      </w:pPr>
      <w:r>
        <w:t>___</w:t>
      </w:r>
      <w:r>
        <w:tab/>
      </w:r>
      <w:r>
        <w:rPr>
          <w:u w:val="single"/>
        </w:rPr>
        <w:t>Other</w:t>
      </w:r>
      <w:r>
        <w:t>.  (Please supply a brief description of the entity and a cross-reference to the paragraph and subparagraph under subsection (a)(1) of Rule 144A pursuant to which it qualifies.  Note that registered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Transferee, the Transferee did not include any of the securities referred to in this paragraph.</w:t>
      </w:r>
    </w:p>
    <w:p>
      <w:pPr>
        <w:pStyle w:val="BodyTextFirstIndent"/>
        <w:jc w:val="both"/>
      </w:pPr>
      <w:r>
        <w:t>4.</w:t>
      </w:r>
      <w:r>
        <w:tab/>
        <w:t>For purposes of determining the aggregate amount of securities owned and/or  invested on a discretionary basis by the Transferee, the Transferee used the cost of such securities to the Transferee, unless the Transferee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 However, such securities were not included if the Transferee is a majority-owned, consolidated subsidiary of another enterprise and the Transferee is not itself a reporting company under the Securities Exchange Act of 1934, as amended.</w:t>
      </w:r>
    </w:p>
    <w:p>
      <w:pPr>
        <w:pStyle w:val="BodyTextFirstIndent"/>
        <w:jc w:val="both"/>
      </w:pPr>
      <w:r>
        <w:t>5.</w:t>
      </w:r>
      <w:r>
        <w:tab/>
        <w:t>The Transferee acknowledges that it is familiar with Rule 144A and understands that the Transferor and other parties related to the Transferred Notes are relying and will continue to rely on the statements made herein because one or more sales to the Transferee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3078"/>
        <w:gridCol w:w="649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828"/>
        </w:trPr>
        <w:tc>
          <w:tcPr>
            <w:tcW w:w="3078" w:type="dxa"/>
            <w:vAlign w:val="center"/>
            <w:hideMark/>
          </w:tcPr>
          <w:p>
            <w:pPr>
              <w:jc w:val="center"/>
            </w:pPr>
            <w:r>
              <w:t>___</w:t>
            </w:r>
            <w:r>
              <w:tab/>
              <w:t>___</w:t>
            </w:r>
            <w:r>
              <w:br/>
              <w:t>Yes     No</w:t>
            </w:r>
          </w:p>
        </w:tc>
        <w:tc>
          <w:tcPr>
            <w:tcW w:w="6498" w:type="dxa"/>
            <w:vAlign w:val="center"/>
            <w:hideMark/>
          </w:tcPr>
          <w:p>
            <w:r>
              <w:t>Will the Transferee be purchasing the Transferred Notes only for the Transferee’s own account?</w:t>
            </w:r>
          </w:p>
        </w:tc>
      </w:tr>
    </w:tbl>
    <w:p>
      <w:pPr>
        <w:jc w:val="both"/>
      </w:pPr>
    </w:p>
    <w:p>
      <w:pPr>
        <w:pStyle w:val="BodyTextFirstIndent"/>
        <w:jc w:val="both"/>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FirstIndent"/>
        <w:jc w:val="both"/>
      </w:pPr>
      <w:r>
        <w:t>7.</w:t>
      </w:r>
      <w:r>
        <w:tab/>
        <w:t>The Transferee will notify each of the parties to which this certification is made of any changes in the information and conclusions herein. Until such notice is given, the Transferee’s purchase of the Transferred Notes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pPr>
        <w:ind w:left="4320"/>
        <w:rPr>
          <w:u w:val="single"/>
        </w:rPr>
      </w:pPr>
      <w:r>
        <w:rPr>
          <w:u w:val="single"/>
        </w:rPr>
        <w:br w:type="page"/>
      </w:r>
    </w:p>
    <w:p>
      <w:pPr>
        <w:pStyle w:val="FlushRight"/>
        <w:rPr>
          <w:b/>
          <w:u w:val="single"/>
        </w:rPr>
      </w:pPr>
      <w:r>
        <w:rPr>
          <w:b/>
          <w:u w:val="single"/>
        </w:rPr>
        <w:t>ANNEX 2 to EXHIBIT B-7</w:t>
      </w:r>
    </w:p>
    <w:p>
      <w:pPr>
        <w:pStyle w:val="Title"/>
      </w:pPr>
      <w:r>
        <w:t>QUALIFIED INSTITUTIONAL BUYER STATUS UNDER SEC RULE 144A</w:t>
      </w:r>
    </w:p>
    <w:p>
      <w:pPr>
        <w:pStyle w:val="Subtitle"/>
        <w:rPr>
          <w:i/>
          <w:u w:val="single"/>
        </w:rPr>
      </w:pPr>
      <w:r>
        <w:rPr>
          <w:i/>
        </w:rPr>
        <w:t>[for Transferees that are Registered Investment Companies]</w:t>
      </w:r>
    </w:p>
    <w:p>
      <w:pPr>
        <w:pStyle w:val="BodyTextFirstIndent"/>
        <w:jc w:val="both"/>
      </w:pPr>
      <w:r>
        <w:t>The undersigned hereby certifies as follows to [name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this certification relates and to which this certification is an Annex:</w:t>
      </w:r>
    </w:p>
    <w:p>
      <w:pPr>
        <w:pStyle w:val="BodyTextFirstIndent"/>
        <w:jc w:val="both"/>
      </w:pPr>
      <w:r>
        <w:t>1.</w:t>
      </w:r>
      <w:r>
        <w:tab/>
        <w:t>As indicated below, the undersigned is the chief financial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pPr>
        <w:pStyle w:val="BodyTextFirstIndent"/>
        <w:jc w:val="both"/>
      </w:pPr>
      <w:r>
        <w:t>2.</w:t>
      </w:r>
      <w: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pPr>
        <w:pStyle w:val="HangingIndent2"/>
      </w:pPr>
      <w:r>
        <w:t>___</w:t>
      </w:r>
      <w:r>
        <w:tab/>
        <w:t>The Transferee owned and/or invested on a discretionary basis $_______________ in securities (other than the excluded securities referred to below) as of the end of the Transferee’s most recent fiscal year (such amount being calculated in accordance with Rule 144A).</w:t>
      </w:r>
    </w:p>
    <w:p>
      <w:pPr>
        <w:pStyle w:val="HangingIndent2"/>
      </w:pPr>
      <w:r>
        <w:t>___</w:t>
      </w:r>
      <w:r>
        <w:tab/>
        <w:t>The Transferee is part of a Family of Investment Companies which owned in the aggregate $_________________ in securities (other than the excluded securities referred to  below) as of the end of the Transferee’s most recent fiscal year (such amount being calculated in accordance with Rule 144A).</w:t>
      </w:r>
    </w:p>
    <w:p>
      <w:pPr>
        <w:pStyle w:val="BodyTextFirstIndent"/>
        <w:jc w:val="both"/>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pPr>
        <w:pStyle w:val="BodyTextFirstIndent"/>
        <w:jc w:val="both"/>
      </w:pPr>
      <w:r>
        <w:t>4.</w:t>
      </w:r>
      <w:r>
        <w:tab/>
        <w:t>The term “</w:t>
      </w:r>
      <w:r>
        <w:rPr>
          <w:u w:val="single"/>
        </w:rPr>
        <w:t>securities</w:t>
      </w:r>
      <w:r>
        <w:t>” as used herein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pPr>
        <w:pStyle w:val="BodyTextFirstIndent"/>
        <w:jc w:val="both"/>
      </w:pPr>
      <w:r>
        <w:t>5.</w:t>
      </w:r>
      <w:r>
        <w:tab/>
        <w:t>The Transferee is familiar with Rule 144A and understands that the parties to which this certification is being made are relying and will continue to rely on the statements made herein because one or more sales to the Transferee will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3078"/>
        <w:gridCol w:w="649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828"/>
        </w:trPr>
        <w:tc>
          <w:tcPr>
            <w:tcW w:w="3078" w:type="dxa"/>
            <w:vAlign w:val="center"/>
            <w:hideMark/>
          </w:tcPr>
          <w:p>
            <w:pPr>
              <w:jc w:val="center"/>
            </w:pPr>
            <w:r>
              <w:t>___</w:t>
            </w:r>
            <w:r>
              <w:tab/>
              <w:t>___</w:t>
            </w:r>
            <w:r>
              <w:br/>
              <w:t>Yes     No</w:t>
            </w:r>
          </w:p>
        </w:tc>
        <w:tc>
          <w:tcPr>
            <w:tcW w:w="6498" w:type="dxa"/>
            <w:vAlign w:val="center"/>
            <w:hideMark/>
          </w:tcPr>
          <w:p>
            <w:r>
              <w:t>Will the Transferee be purchasing the Transferred Notes only for the Transferee’s own account?</w:t>
            </w:r>
          </w:p>
        </w:tc>
      </w:tr>
    </w:tbl>
    <w:p/>
    <w:p>
      <w:pPr>
        <w:pStyle w:val="BodyTextFirstIndent"/>
        <w:jc w:val="both"/>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FirstIndent"/>
        <w:jc w:val="both"/>
      </w:pPr>
      <w:r>
        <w:t>7.</w:t>
      </w:r>
      <w:r>
        <w:tab/>
        <w:t>The undersigned will notify the parties to which this certification is made of any  changes in the information and conclusions herein. Until such notice, the Transferee’s purchase of the Transferred Notes will constitute a reaffirmation of this certification by the undersigned as of the date of such purchase.</w:t>
      </w:r>
    </w:p>
    <w:p>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t>Date:</w:t>
      </w:r>
    </w:p>
    <w:p>
      <w:pPr>
        <w:pStyle w:val="Byline"/>
      </w:pPr>
    </w:p>
    <w:p>
      <w:pPr>
        <w:pStyle w:val="Byline"/>
        <w:sectPr>
          <w:headerReference w:type="default" r:id="rId72"/>
          <w:footerReference w:type="default" r:id="rId73"/>
          <w:pgSz w:w="12240" w:h="15840" w:code="1"/>
          <w:pgMar w:top="810" w:right="1440" w:bottom="1080" w:left="1440" w:header="720" w:footer="255" w:gutter="0"/>
          <w:paperSrc w:first="260" w:other="260"/>
          <w:pgNumType w:start="1"/>
          <w:cols w:space="720"/>
          <w:docGrid w:linePitch="360"/>
        </w:sectPr>
      </w:pPr>
    </w:p>
    <w:p>
      <w:pPr>
        <w:rPr>
          <w:szCs w:val="20"/>
        </w:rPr>
      </w:pPr>
    </w:p>
    <w:p>
      <w:pPr>
        <w:pStyle w:val="EXHIBITHEADING"/>
        <w:ind w:firstLine="0"/>
        <w:jc w:val="center"/>
        <w:rPr>
          <w:b/>
        </w:rPr>
      </w:pPr>
      <w:r>
        <w:rPr>
          <w:b/>
        </w:rPr>
        <w:t>EXHIBIT C</w:t>
      </w:r>
    </w:p>
    <w:p>
      <w:pPr>
        <w:pStyle w:val="BodyText"/>
        <w:jc w:val="center"/>
        <w:rPr>
          <w:b/>
        </w:rPr>
      </w:pPr>
      <w:r>
        <w:rPr>
          <w:b/>
        </w:rPr>
        <w:t xml:space="preserve">FORM OF CONFIRMATION AND </w:t>
      </w:r>
      <w:r>
        <w:rPr>
          <w:b/>
        </w:rPr>
        <w:t>CONFIDENTIALITY AGREEMENT</w:t>
      </w:r>
    </w:p>
    <w:p>
      <w:pPr>
        <w:pStyle w:val="BodyText"/>
        <w:contextualSpacing/>
      </w:pPr>
      <w:r>
        <w:t>Citibank, N.A., as Paying Agent</w:t>
      </w:r>
      <w:r>
        <w:br/>
        <w:t>388 Greenwich Street</w:t>
      </w:r>
    </w:p>
    <w:p>
      <w:pPr>
        <w:pStyle w:val="BodyText"/>
        <w:contextualSpacing/>
      </w:pPr>
      <w:r>
        <w:t>New York, NY 10013</w:t>
      </w:r>
      <w:r>
        <w:br/>
        <w:t>Attention: [____________]</w:t>
      </w:r>
    </w:p>
    <w:p>
      <w:pPr>
        <w:pStyle w:val="BodyText"/>
        <w:contextualSpacing/>
      </w:pPr>
    </w:p>
    <w:p>
      <w:pPr>
        <w:pStyle w:val="BodyText"/>
      </w:pPr>
      <w:r>
        <w:t xml:space="preserve">Re:  </w:t>
      </w:r>
      <w:r>
        <w:rPr>
          <w:u w:val="single"/>
        </w:rPr>
        <w:t>CSMC 2022-ATH1 Trust</w:t>
      </w:r>
    </w:p>
    <w:p>
      <w:pPr>
        <w:pStyle w:val="BodyText"/>
      </w:pPr>
      <w:r>
        <w:t>Greetings:</w:t>
      </w:r>
    </w:p>
    <w:p>
      <w:pPr>
        <w:pStyle w:val="BodyText"/>
        <w:jc w:val="both"/>
      </w:pPr>
      <w:r>
        <w:tab/>
        <w:t>This letter is delivered to you in connection with [a request for information] [a request for access to the Paying Agent’s website for the purpose of obtaining reports to Holders pursuant to Section [●] of the [_____________] by [the undersigned beneficial holder (the “</w:t>
      </w:r>
      <w:r>
        <w:rPr>
          <w:u w:val="single"/>
        </w:rPr>
        <w:t>Holder</w:t>
      </w:r>
      <w:r>
        <w:t>”) or the undersigned prospective transferee (the “Transferee”) of [Notes (the “Notes”)] [the Certificate (the “</w:t>
      </w:r>
      <w:r>
        <w:rPr>
          <w:u w:val="single"/>
        </w:rPr>
        <w:t>Certificate</w:t>
      </w:r>
      <w:r>
        <w:t>”)]] [the Depositor] [the Issuer].  [The Notes were issued pursuant to the Indenture, dated February 22, 2022 (the “</w:t>
      </w:r>
      <w:r>
        <w:rPr>
          <w:u w:val="single"/>
        </w:rPr>
        <w:t>Indenture</w:t>
      </w:r>
      <w:r>
        <w:t>”), among CSMC 2022-ATH1 Trust, as issuer (the “</w:t>
      </w:r>
      <w:r>
        <w:rPr>
          <w:u w:val="single"/>
        </w:rPr>
        <w:t>Issuer</w:t>
      </w:r>
      <w:r>
        <w:t>”), Wilmington Savings Fund Society, FSB, as indenture trustee (in such capacity, the “</w:t>
      </w:r>
      <w:r>
        <w:rPr>
          <w:u w:val="single"/>
        </w:rPr>
        <w:t>Indenture Trustee</w:t>
      </w:r>
      <w:r>
        <w:t>”), Citibank, N.A., as paying agent, as note registrar and as REMIC administrator and Nationstar Mortgage LLC, as master servicer] [The Certificate was issued pursuant to the Amended and Restated Trust Agreement, dated as of February 22, 2022 (the “</w:t>
      </w:r>
      <w:r>
        <w:rPr>
          <w:u w:val="single"/>
        </w:rPr>
        <w:t>Amended and Restated Trust Agreement</w:t>
      </w:r>
      <w:r>
        <w:t>”), among Credit Suisse First Boston Mortgage Securities Corp., as depositor, Wilmington Savings Fund Society, FSB, as owner trustee, and Citibank, N.A., as REMIC administrator and paying agent].  All terms used herein and not otherwise defined shall have the meanings set forth in the [Indenture][Amended and Restated Trust Agreement].  The undersigned hereby certifies, represents and warrants to you, that:</w:t>
      </w:r>
    </w:p>
    <w:p>
      <w:pPr>
        <w:pStyle w:val="BodyText"/>
        <w:ind w:left="1440"/>
      </w:pPr>
      <w:r>
        <w:t>INITIAL BOX AS APPLICABLE</w:t>
      </w:r>
    </w:p>
    <w:p>
      <w:pPr>
        <w:pStyle w:val="BodyText"/>
        <w:ind w:left="3600" w:hanging="2160"/>
        <w:jc w:val="both"/>
      </w:pPr>
      <w:r>
        <w:t>1.     _____</w:t>
      </w:r>
      <w:r>
        <w:tab/>
        <w:t xml:space="preserve">In the case of a request for information by a direct or beneficial holder of [Notes][the Certificate]: the undersigned is a direct or beneficial holder of [Notes][the Certificate] and is requesting the information solely for use in evaluating such party’s investment in the [Notes][the Certificate] and will otherwise keep such information </w:t>
      </w:r>
      <w:r>
        <w:t>confidential</w:t>
      </w:r>
      <w:r>
        <w:t>.</w:t>
      </w:r>
    </w:p>
    <w:p>
      <w:pPr>
        <w:pStyle w:val="BodyText"/>
        <w:ind w:left="3600" w:hanging="2160"/>
        <w:jc w:val="both"/>
      </w:pPr>
      <w:r>
        <w:t>2.     _____</w:t>
      </w:r>
      <w:r>
        <w:tab/>
        <w:t xml:space="preserve">In the case of a request for information by a prospective transferee:  (i) the undersigned holder is a direct or beneficial holder of [Notes][the Certificate] and the undersigned requesting party is a prospective transferee of the undersigned holder’s [Notes][the Certificate] and (ii) the undersigned requesting party is a prospective transferee of [Notes][the Certificate], is requesting the information solely for use in evaluating a possible investment in [Notes][the Certificate] and will otherwise keep such information </w:t>
      </w:r>
      <w:r>
        <w:t>confidential</w:t>
      </w:r>
      <w:r>
        <w:t>.</w:t>
      </w:r>
    </w:p>
    <w:p>
      <w:pPr>
        <w:pStyle w:val="BodyText"/>
        <w:ind w:left="3600" w:hanging="2160"/>
        <w:jc w:val="both"/>
      </w:pPr>
      <w:r>
        <w:t>3.     _____</w:t>
      </w:r>
      <w:r>
        <w:tab/>
        <w:t>In the case of a request for access to the Paying Agent’s website in accordance with Section [●] of the [●] by a direct or beneficial holder of [Notes][the Certificate], the Depositor or the Issuer: the undersigned is [a direct or beneficial holder of [Notes][the Certificate]] [the Depositor][the Issuer] and is requesting access to the Paying Agent’s website in accordance with Section [●] of the [____________] and will otherwise keep such information confidential.</w:t>
      </w:r>
    </w:p>
    <w:p>
      <w:pPr>
        <w:pStyle w:val="BodyText"/>
        <w:ind w:left="3600" w:hanging="2160"/>
      </w:pPr>
    </w:p>
    <w:p>
      <w:pPr>
        <w:pStyle w:val="BodyText"/>
      </w:pPr>
      <w:r>
        <w:t xml:space="preserve">IN WITNESS WHEREOF, the parties hereto have caused this Confirmation and </w:t>
      </w:r>
      <w:r>
        <w:t>Confidentiality Agreement</w:t>
      </w:r>
      <w:r>
        <w:t xml:space="preserve"> to be executed this ___ day of ______________, 20__.</w:t>
      </w:r>
    </w:p>
    <w:p>
      <w:pPr>
        <w:pStyle w:val="BodyText"/>
        <w:ind w:left="5040"/>
      </w:pPr>
      <w:r>
        <w:br/>
        <w:t>[___________________________],</w:t>
      </w:r>
      <w:r>
        <w:br/>
        <w:t>HOLDER</w:t>
      </w:r>
    </w:p>
    <w:p>
      <w:pPr>
        <w:pStyle w:val="BodyText"/>
        <w:ind w:left="5040"/>
      </w:pPr>
      <w:r>
        <w:br/>
        <w:t>By:  __________________________</w:t>
      </w:r>
      <w:r>
        <w:br/>
        <w:t>Name:</w:t>
      </w:r>
      <w:r>
        <w:br/>
        <w:t>Title:</w:t>
      </w:r>
    </w:p>
    <w:p>
      <w:pPr>
        <w:pStyle w:val="BodyText"/>
        <w:ind w:left="5040"/>
      </w:pPr>
    </w:p>
    <w:p>
      <w:pPr>
        <w:pStyle w:val="BodyText"/>
        <w:ind w:left="5040"/>
      </w:pPr>
      <w:r>
        <w:t>[_____________________________],</w:t>
      </w:r>
      <w:r>
        <w:br/>
        <w:t>TRANSFEREE</w:t>
      </w:r>
      <w:r>
        <w:br/>
      </w:r>
    </w:p>
    <w:p>
      <w:pPr>
        <w:ind w:left="5040"/>
        <w:sectPr>
          <w:footerReference w:type="default" r:id="rId74"/>
          <w:pgSz w:w="12240" w:h="15840" w:code="1"/>
          <w:pgMar w:top="1440" w:right="1440" w:bottom="1440" w:left="1440" w:header="720" w:footer="720" w:gutter="0"/>
          <w:paperSrc w:first="260" w:other="260"/>
          <w:pgNumType w:start="1"/>
          <w:cols w:space="720"/>
          <w:docGrid w:linePitch="360"/>
        </w:sectPr>
      </w:pPr>
      <w:r>
        <w:t>By:  __________________________</w:t>
      </w:r>
      <w:r>
        <w:br/>
        <w:t>Name:</w:t>
      </w:r>
      <w:r>
        <w:br/>
        <w:t xml:space="preserve">Title: </w:t>
      </w:r>
    </w:p>
    <w:p>
      <w:pPr>
        <w:keepNext/>
        <w:spacing w:after="240"/>
        <w:jc w:val="center"/>
        <w:rPr>
          <w:b/>
          <w:bCs/>
          <w:caps/>
          <w:szCs w:val="20"/>
        </w:rPr>
      </w:pPr>
      <w:r>
        <w:rPr>
          <w:b/>
          <w:caps/>
        </w:rPr>
        <w:t>EXHIBIT D</w:t>
      </w:r>
      <w:r>
        <w:rPr>
          <w:b/>
          <w:caps/>
        </w:rPr>
        <w:br/>
      </w:r>
      <w:r>
        <w:rPr>
          <w:b/>
          <w:bCs/>
          <w:caps/>
          <w:szCs w:val="20"/>
        </w:rPr>
        <w:br/>
        <w:t>FORM OF NRSRO and Depositor Certification</w:t>
      </w:r>
    </w:p>
    <w:p>
      <w:pPr>
        <w:spacing w:after="240"/>
        <w:jc w:val="center"/>
        <w:rPr>
          <w:bCs/>
          <w:szCs w:val="20"/>
        </w:rPr>
      </w:pPr>
      <w:r>
        <w:rPr>
          <w:bCs/>
          <w:szCs w:val="20"/>
        </w:rPr>
        <w:t>[Date]</w:t>
      </w:r>
    </w:p>
    <w:p>
      <w:pPr>
        <w:jc w:val="both"/>
        <w:rPr>
          <w:szCs w:val="20"/>
        </w:rPr>
      </w:pPr>
      <w:r>
        <w:rPr>
          <w:szCs w:val="20"/>
        </w:rPr>
        <w:t>[__________]</w:t>
      </w:r>
    </w:p>
    <w:p>
      <w:pPr>
        <w:jc w:val="both"/>
        <w:rPr>
          <w:szCs w:val="20"/>
        </w:rPr>
      </w:pPr>
      <w:r>
        <w:rPr>
          <w:szCs w:val="20"/>
        </w:rPr>
        <w:t>[__________]</w:t>
      </w:r>
    </w:p>
    <w:p>
      <w:pPr>
        <w:jc w:val="both"/>
        <w:rPr>
          <w:szCs w:val="20"/>
        </w:rPr>
      </w:pPr>
      <w:r>
        <w:rPr>
          <w:szCs w:val="20"/>
        </w:rPr>
        <w:t>[__________]</w:t>
      </w:r>
    </w:p>
    <w:p>
      <w:pPr>
        <w:jc w:val="both"/>
        <w:rPr>
          <w:szCs w:val="20"/>
        </w:rPr>
      </w:pPr>
      <w:r>
        <w:rPr>
          <w:szCs w:val="20"/>
        </w:rPr>
        <w:t>[__________]</w:t>
      </w:r>
    </w:p>
    <w:p>
      <w:pPr>
        <w:spacing w:after="240"/>
        <w:jc w:val="both"/>
        <w:rPr>
          <w:szCs w:val="20"/>
        </w:rPr>
      </w:pPr>
      <w:r>
        <w:rPr>
          <w:szCs w:val="20"/>
        </w:rPr>
        <w:t>Attention: [__________]</w:t>
      </w:r>
    </w:p>
    <w:p>
      <w:pPr>
        <w:jc w:val="both"/>
        <w:rPr>
          <w:szCs w:val="20"/>
        </w:rPr>
      </w:pPr>
      <w:r>
        <w:rPr>
          <w:szCs w:val="20"/>
        </w:rPr>
        <w:t xml:space="preserve">Attention: </w:t>
      </w:r>
      <w:r>
        <w:rPr>
          <w:szCs w:val="20"/>
        </w:rPr>
        <w:tab/>
      </w:r>
      <w:r>
        <w:rPr>
          <w:szCs w:val="20"/>
          <w:u w:val="single"/>
        </w:rPr>
        <w:t>CSMC 2022-ATH1 Trust Mortgage-Backed Notes, Series 2022-ATH1</w:t>
      </w:r>
    </w:p>
    <w:p>
      <w:pPr>
        <w:jc w:val="both"/>
        <w:rPr>
          <w:szCs w:val="20"/>
        </w:rPr>
      </w:pPr>
    </w:p>
    <w:p>
      <w:pPr>
        <w:spacing w:after="240"/>
        <w:ind w:firstLine="720"/>
        <w:jc w:val="both"/>
        <w:rPr>
          <w:lang w:bidi="en-US"/>
        </w:rPr>
      </w:pPr>
      <w:r>
        <w:rPr>
          <w:lang w:bidi="en-US"/>
        </w:rPr>
        <w:t>In accordance with the requirements for obtaining certain information pursuant to the Indenture, dated February 22, 2022 (as amended, supplemented or otherwise modified from time to time, the “</w:t>
      </w:r>
      <w:r>
        <w:rPr>
          <w:u w:val="single"/>
          <w:lang w:bidi="en-US"/>
        </w:rPr>
        <w:t>Indenture</w:t>
      </w:r>
      <w:r>
        <w:rPr>
          <w:lang w:bidi="en-US"/>
        </w:rPr>
        <w:t>”), by and among CSMC 2022-ATH1 Trust, as issuer, Wilmington Savings Fund Society, FSB, as indenture trustee, Citibank, N.A., as paying agent, as REMIC administrator and as note registrar and Nationstar Mortgage LLC, as master servicer, with respect to the above-referenced notes (the “</w:t>
      </w:r>
      <w:r>
        <w:rPr>
          <w:u w:val="single"/>
          <w:lang w:bidi="en-US"/>
        </w:rPr>
        <w:t>Notes</w:t>
      </w:r>
      <w:r>
        <w:rPr>
          <w:lang w:bidi="en-US"/>
        </w:rPr>
        <w:t>”), the undersigned hereby certifies and agrees as follows:</w:t>
      </w:r>
    </w:p>
    <w:p>
      <w:pPr>
        <w:spacing w:after="240"/>
        <w:ind w:firstLine="720"/>
        <w:jc w:val="both"/>
        <w:rPr>
          <w:lang w:bidi="en-US"/>
        </w:rPr>
      </w:pPr>
      <w:r>
        <w:rPr>
          <w:lang w:bidi="en-US"/>
        </w:rPr>
        <w:t>With respect to any Nationally Recognized Statistical Rating Organization (“</w:t>
      </w:r>
      <w:r>
        <w:rPr>
          <w:u w:val="single"/>
          <w:lang w:bidi="en-US"/>
        </w:rPr>
        <w:t>NRSRO</w:t>
      </w:r>
      <w:r>
        <w:rPr>
          <w:lang w:bidi="en-US"/>
        </w:rPr>
        <w:t>”):</w:t>
      </w:r>
    </w:p>
    <w:p>
      <w:pPr>
        <w:spacing w:after="240"/>
        <w:ind w:firstLine="720"/>
        <w:jc w:val="both"/>
        <w:rPr>
          <w:lang w:bidi="en-US"/>
        </w:rPr>
      </w:pPr>
      <w:r>
        <w:rPr>
          <w:lang w:bidi="en-US"/>
        </w:rPr>
        <w:t>1.</w:t>
      </w:r>
      <w:r>
        <w:rPr>
          <w:lang w:bidi="en-US"/>
        </w:rPr>
        <w:tab/>
        <w:t>The undersigned, an NRSRO, has provided Credit Suisse First Boston Mortgage Securities Corp. (the “</w:t>
      </w:r>
      <w:r>
        <w:rPr>
          <w:u w:val="single"/>
          <w:lang w:bidi="en-US"/>
        </w:rPr>
        <w:t>Depositor</w:t>
      </w:r>
      <w:r>
        <w:rPr>
          <w:lang w:bidi="en-US"/>
        </w:rPr>
        <w:t>”) with the appropriate certifications under Exchange Act Rule 17g-5(e).</w:t>
      </w:r>
    </w:p>
    <w:p>
      <w:pPr>
        <w:spacing w:after="240"/>
        <w:ind w:firstLine="720"/>
        <w:jc w:val="both"/>
        <w:rPr>
          <w:lang w:bidi="en-US"/>
        </w:rPr>
      </w:pPr>
      <w:r>
        <w:rPr>
          <w:lang w:bidi="en-US"/>
        </w:rPr>
        <w:t>2.</w:t>
      </w:r>
      <w:r>
        <w:rPr>
          <w:lang w:bidi="en-US"/>
        </w:rPr>
        <w:tab/>
        <w:t>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pPr>
        <w:spacing w:after="240"/>
        <w:ind w:firstLine="720"/>
        <w:jc w:val="both"/>
        <w:rPr>
          <w:lang w:bidi="en-US"/>
        </w:rPr>
      </w:pPr>
      <w:r>
        <w:rPr>
          <w:lang w:bidi="en-US"/>
        </w:rPr>
        <w:t>3.</w:t>
      </w:r>
      <w:r>
        <w:rPr>
          <w:lang w:bidi="en-US"/>
        </w:rPr>
        <w:tab/>
        <w:t>The undersigned shall be deemed to have recertified to the provisions herein each time it accesses any information on the Rule 17g-5 Website maintained by the Depositor.</w:t>
      </w:r>
    </w:p>
    <w:p>
      <w:pPr>
        <w:spacing w:after="240"/>
        <w:ind w:firstLine="720"/>
        <w:jc w:val="both"/>
        <w:rPr>
          <w:lang w:bidi="en-US"/>
        </w:rPr>
      </w:pPr>
      <w:r>
        <w:rPr>
          <w:lang w:bidi="en-US"/>
        </w:rPr>
        <w:t>With respect to the Depositor:</w:t>
      </w:r>
    </w:p>
    <w:p>
      <w:pPr>
        <w:spacing w:after="240"/>
        <w:ind w:firstLine="720"/>
        <w:jc w:val="both"/>
        <w:rPr>
          <w:lang w:bidi="en-US"/>
        </w:rPr>
      </w:pPr>
      <w:r>
        <w:rPr>
          <w:lang w:bidi="en-US"/>
        </w:rPr>
        <w:t>1.</w:t>
      </w:r>
      <w:r>
        <w:rPr>
          <w:lang w:bidi="en-US"/>
        </w:rPr>
        <w:tab/>
        <w:t>The undersigned is the Depositor and is the Rule 17g-5 Information Provider.</w:t>
      </w:r>
    </w:p>
    <w:p>
      <w:pPr>
        <w:spacing w:after="240"/>
        <w:ind w:firstLine="720"/>
        <w:jc w:val="both"/>
        <w:rPr>
          <w:lang w:bidi="en-US"/>
        </w:rPr>
      </w:pPr>
      <w:r>
        <w:rPr>
          <w:lang w:bidi="en-US"/>
        </w:rPr>
        <w:t>Capitalized terms used but not defined herein shall have the respective meanings assigned thereto in the Indenture.</w:t>
      </w:r>
    </w:p>
    <w:p>
      <w:pPr>
        <w:spacing w:after="240"/>
        <w:ind w:firstLine="720"/>
        <w:jc w:val="both"/>
        <w:rPr>
          <w:lang w:bidi="en-US"/>
        </w:rPr>
      </w:pPr>
      <w:r>
        <w:rPr>
          <w:lang w:bidi="en-US"/>
        </w:rPr>
        <w:t>BY ITS CERTIFICATION HEREOF, the undersigned has made the representations above and shall be deemed to have caused its name to be signed hereto by its duly authorized signatory, as of the date certified.</w:t>
      </w:r>
    </w:p>
    <w:p>
      <w:pPr>
        <w:spacing w:after="240"/>
        <w:ind w:firstLine="720"/>
        <w:jc w:val="both"/>
        <w:rPr>
          <w:lang w:bidi="en-US"/>
        </w:rPr>
      </w:pPr>
      <w:r>
        <w:rPr>
          <w:lang w:bidi="en-US"/>
        </w:rPr>
        <w:br w:type="page"/>
      </w:r>
    </w:p>
    <w:p>
      <w:pPr>
        <w:jc w:val="both"/>
      </w:pPr>
    </w:p>
    <w:p>
      <w:pPr>
        <w:jc w:val="both"/>
      </w:pPr>
    </w:p>
    <w:p>
      <w:pPr>
        <w:jc w:val="both"/>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pPr>
        <w:jc w:val="both"/>
      </w:pPr>
      <w:r>
        <w:rPr>
          <w:szCs w:val="20"/>
        </w:rPr>
        <w:t>Name:</w:t>
      </w:r>
    </w:p>
    <w:p>
      <w:pPr>
        <w:jc w:val="both"/>
      </w:pPr>
      <w:r>
        <w:rPr>
          <w:szCs w:val="20"/>
        </w:rPr>
        <w:t>Title:</w:t>
      </w:r>
    </w:p>
    <w:p>
      <w:pPr>
        <w:jc w:val="both"/>
      </w:pPr>
    </w:p>
    <w:p>
      <w:pPr>
        <w:rPr>
          <w:szCs w:val="20"/>
        </w:rPr>
        <w:sectPr>
          <w:footerReference w:type="default" r:id="rId75"/>
          <w:footerReference w:type="first" r:id="rId76"/>
          <w:pgSz w:w="12240" w:h="15840"/>
          <w:pgMar w:top="1440" w:right="1440" w:bottom="1440" w:left="1440" w:header="720" w:footer="720" w:gutter="0"/>
          <w:pgNumType w:start="1"/>
          <w:cols w:space="720"/>
          <w:docGrid w:linePitch="360"/>
        </w:sectPr>
      </w:pPr>
      <w:r>
        <w:rPr>
          <w:szCs w:val="20"/>
        </w:rPr>
        <w:t>Dated: ___________, ____</w:t>
      </w:r>
    </w:p>
    <w:p>
      <w:pPr>
        <w:jc w:val="center"/>
      </w:pPr>
      <w:r>
        <w:t>EXHIBIT E</w:t>
      </w:r>
    </w:p>
    <w:p>
      <w:pPr>
        <w:jc w:val="center"/>
      </w:pPr>
    </w:p>
    <w:p>
      <w:pPr>
        <w:spacing w:after="240"/>
        <w:jc w:val="center"/>
        <w:rPr>
          <w:rFonts w:cs="Arial"/>
          <w:b/>
          <w:bCs/>
        </w:rPr>
      </w:pPr>
      <w:r>
        <w:rPr>
          <w:rFonts w:cs="Arial"/>
          <w:b/>
          <w:bCs/>
          <w:caps/>
        </w:rPr>
        <w:t>FORM OF EXCHANGE NOTICE</w:t>
      </w:r>
    </w:p>
    <w:p/>
    <w:p>
      <w:pPr>
        <w:autoSpaceDE w:val="0"/>
        <w:autoSpaceDN w:val="0"/>
        <w:adjustRightInd w:val="0"/>
        <w:spacing w:after="240"/>
        <w:ind w:left="5760"/>
      </w:pPr>
      <w:r>
        <w:t>[Date]</w:t>
      </w:r>
    </w:p>
    <w:p>
      <w:pPr>
        <w:spacing w:after="200" w:line="276" w:lineRule="auto"/>
        <w:contextualSpacing/>
        <w:rPr>
          <w:rFonts w:eastAsia="Malgun Gothic" w:cs="Arial"/>
          <w:szCs w:val="22"/>
          <w:lang w:eastAsia="ko-KR"/>
        </w:rPr>
      </w:pPr>
      <w:r>
        <w:rPr>
          <w:rFonts w:eastAsia="Malgun Gothic" w:cs="Arial"/>
          <w:szCs w:val="22"/>
          <w:lang w:eastAsia="ko-KR"/>
        </w:rPr>
        <w:t>Citibank, N.A.</w:t>
      </w:r>
      <w:r>
        <w:rPr>
          <w:rFonts w:eastAsia="Malgun Gothic" w:cs="Arial"/>
          <w:szCs w:val="22"/>
          <w:lang w:eastAsia="ko-KR"/>
        </w:rPr>
        <w:br/>
        <w:t>480 Washington Boulevard, 30th Floor</w:t>
      </w:r>
    </w:p>
    <w:p>
      <w:pPr>
        <w:spacing w:after="200" w:line="276" w:lineRule="auto"/>
        <w:contextualSpacing/>
        <w:rPr>
          <w:rFonts w:eastAsia="Malgun Gothic" w:cs="Arial"/>
          <w:szCs w:val="22"/>
          <w:lang w:eastAsia="ko-KR"/>
        </w:rPr>
      </w:pPr>
      <w:r>
        <w:rPr>
          <w:rFonts w:eastAsia="Malgun Gothic" w:cs="Arial"/>
          <w:szCs w:val="22"/>
          <w:lang w:eastAsia="ko-KR"/>
        </w:rPr>
        <w:t>Jersey City, NJ 07310</w:t>
      </w:r>
    </w:p>
    <w:p>
      <w:pPr>
        <w:spacing w:after="240" w:line="276" w:lineRule="auto"/>
        <w:rPr>
          <w:rFonts w:eastAsia="Malgun Gothic" w:cs="Arial"/>
          <w:szCs w:val="22"/>
          <w:lang w:eastAsia="ko-KR"/>
        </w:rPr>
      </w:pPr>
      <w:r>
        <w:rPr>
          <w:rFonts w:eastAsia="Malgun Gothic" w:cs="Arial"/>
          <w:szCs w:val="22"/>
          <w:lang w:eastAsia="ko-KR"/>
        </w:rPr>
        <w:t>Attn: Transfer Window/ Michelle Chotoosingh</w:t>
      </w:r>
      <w:r>
        <w:rPr>
          <w:rFonts w:eastAsia="Malgun Gothic" w:cs="Arial"/>
          <w:szCs w:val="22"/>
          <w:lang w:eastAsia="ko-KR"/>
        </w:rPr>
        <w:br/>
        <w:t xml:space="preserve">Reference:  </w:t>
      </w:r>
      <w:r>
        <w:rPr>
          <w:rFonts w:eastAsia="Malgun Gothic" w:cs="Arial"/>
          <w:szCs w:val="20"/>
          <w:lang w:eastAsia="ko-KR"/>
        </w:rPr>
        <w:t>CSMC 2022-ATH1</w:t>
      </w:r>
    </w:p>
    <w:p>
      <w:pPr>
        <w:autoSpaceDE w:val="0"/>
        <w:autoSpaceDN w:val="0"/>
        <w:adjustRightInd w:val="0"/>
        <w:spacing w:after="240"/>
      </w:pPr>
    </w:p>
    <w:p>
      <w:pPr>
        <w:tabs>
          <w:tab w:val="num" w:pos="1350"/>
          <w:tab w:val="left" w:pos="5160"/>
        </w:tabs>
        <w:spacing w:after="240"/>
        <w:ind w:left="1320" w:hanging="600"/>
        <w:rPr>
          <w:u w:val="single"/>
        </w:rPr>
      </w:pPr>
      <w:r>
        <w:t>Re:</w:t>
      </w:r>
      <w:r>
        <w:tab/>
        <w:t xml:space="preserve"> </w:t>
      </w:r>
      <w:r>
        <w:rPr>
          <w:u w:val="single"/>
        </w:rPr>
        <w:t>CSMC 2022-ATH1 Trust Mortgage-Backed Notes, Series 2022-ATH1 (the “Notes”)</w:t>
      </w:r>
    </w:p>
    <w:p>
      <w:pPr>
        <w:autoSpaceDE w:val="0"/>
        <w:autoSpaceDN w:val="0"/>
        <w:adjustRightInd w:val="0"/>
        <w:spacing w:after="240"/>
      </w:pPr>
      <w:r>
        <w:t>Greetings:</w:t>
      </w:r>
    </w:p>
    <w:p>
      <w:pPr>
        <w:ind w:firstLine="720"/>
        <w:jc w:val="both"/>
        <w:rPr>
          <w:u w:val="single"/>
        </w:rPr>
      </w:pPr>
      <w:r>
        <w:t xml:space="preserve">Reference is hereby made to </w:t>
      </w:r>
      <w:r>
        <w:rPr>
          <w:lang w:bidi="en-US"/>
        </w:rPr>
        <w:t>the Indenture, dated February 22, 2022 (as amended, supplemented or otherwise modified from time to time, the “</w:t>
      </w:r>
      <w:r>
        <w:rPr>
          <w:u w:val="single"/>
          <w:lang w:bidi="en-US"/>
        </w:rPr>
        <w:t>Indenture</w:t>
      </w:r>
      <w:r>
        <w:rPr>
          <w:lang w:bidi="en-US"/>
        </w:rPr>
        <w:t>”), by and among CSMC 2022-ATH1 Trust, as issuer, Wilmington Savings Fund Society, FSB, as indenture trustee, Citibank, N.A., as paying agent, as REMIC administrator and as note registrar (the “</w:t>
      </w:r>
      <w:r>
        <w:rPr>
          <w:u w:val="single"/>
          <w:lang w:bidi="en-US"/>
        </w:rPr>
        <w:t>Note Registrar</w:t>
      </w:r>
      <w:r>
        <w:rPr>
          <w:lang w:bidi="en-US"/>
        </w:rPr>
        <w:t>”) and Nationstar Mortgage LLC, as master servicer</w:t>
      </w:r>
      <w:r>
        <w:t>.  Capitalized terms used herein but not defined herein shall have the meanings assigned thereto in Appendix A to the Indenture.</w:t>
      </w:r>
    </w:p>
    <w:p/>
    <w:p>
      <w:pPr>
        <w:ind w:firstLine="720"/>
        <w:jc w:val="both"/>
      </w:pPr>
      <w:r>
        <w:t xml:space="preserve">Pursuant to the terms of the Indenture, we hereby present and surrender the notes specified on Annex I attached hereto for exchange, and transfer, assign, set over and otherwise convey to the Note Registrar, all of our right, title and interest in and to such notes , including all payments of interest thereon received after [insert date of exchange], in exchange for the notes to be received as specified on Annex I attached hereto. </w:t>
      </w:r>
    </w:p>
    <w:p>
      <w:pPr>
        <w:jc w:val="both"/>
      </w:pPr>
      <w:r>
        <w:t xml:space="preserve"> </w:t>
      </w:r>
    </w:p>
    <w:p>
      <w:pPr>
        <w:jc w:val="both"/>
      </w:pPr>
      <w:r>
        <w:tab/>
        <w:t xml:space="preserve">We agree that upon such exchange the portions of the notes surrendered for exchange shall be deemed cancelled and replaced by the notes received in exchange therefor. </w:t>
      </w:r>
    </w:p>
    <w:p/>
    <w:p>
      <w:pPr>
        <w:suppressAutoHyphens/>
        <w:ind w:left="5040"/>
      </w:pPr>
      <w:r>
        <w:t>Very truly yours,</w:t>
      </w:r>
    </w:p>
    <w:p>
      <w:pPr>
        <w:suppressAutoHyphens/>
        <w:ind w:left="5040"/>
      </w:pPr>
    </w:p>
    <w:p>
      <w:pPr>
        <w:suppressAutoHyphens/>
        <w:spacing w:after="240"/>
        <w:ind w:left="5040"/>
      </w:pPr>
      <w:r>
        <w:t>[NAME OF HOLDER]</w:t>
      </w:r>
    </w:p>
    <w:p>
      <w:pPr>
        <w:tabs>
          <w:tab w:val="left" w:pos="0"/>
          <w:tab w:val="left" w:pos="720"/>
          <w:tab w:val="left" w:pos="1440"/>
          <w:tab w:val="left" w:pos="2160"/>
          <w:tab w:val="left" w:pos="2880"/>
          <w:tab w:val="left" w:pos="3600"/>
          <w:tab w:val="left" w:pos="4320"/>
        </w:tabs>
        <w:suppressAutoHyphens/>
        <w:ind w:left="5040"/>
      </w:pPr>
      <w:r>
        <w:t>By:</w:t>
      </w:r>
      <w:r>
        <w:rPr>
          <w:u w:val="single"/>
        </w:rPr>
        <w:tab/>
      </w:r>
      <w:r>
        <w:rPr>
          <w:u w:val="single"/>
        </w:rPr>
        <w:tab/>
      </w:r>
      <w:r>
        <w:rPr>
          <w:u w:val="single"/>
        </w:rPr>
        <w:tab/>
      </w:r>
      <w:r>
        <w:rPr>
          <w:u w:val="single"/>
        </w:rPr>
        <w:tab/>
      </w:r>
    </w:p>
    <w:p>
      <w:pPr>
        <w:suppressAutoHyphens/>
        <w:spacing w:after="240"/>
        <w:ind w:left="5040"/>
      </w:pPr>
      <w:r>
        <w:t>Authorized Officer</w:t>
      </w:r>
    </w:p>
    <w:p>
      <w:r>
        <w:tab/>
      </w:r>
      <w:r>
        <w:tab/>
      </w:r>
      <w:r>
        <w:tab/>
      </w:r>
      <w:r>
        <w:tab/>
      </w:r>
      <w:r>
        <w:tab/>
      </w:r>
      <w:r>
        <w:tab/>
      </w:r>
      <w:r>
        <w:tab/>
        <w:t>[MEDALLION STAMP GUARANTEE]</w:t>
      </w:r>
    </w:p>
    <w:p/>
    <w:p>
      <w:r>
        <w:br w:type="page"/>
        <w:t>Acknowledged by:</w:t>
      </w:r>
    </w:p>
    <w:p/>
    <w:p>
      <w:r>
        <w:t>CITIBANK, N.A.,</w:t>
      </w:r>
    </w:p>
    <w:p>
      <w:r>
        <w:t>as Note Registrar</w:t>
      </w:r>
    </w:p>
    <w:p/>
    <w:p>
      <w:r>
        <w:t>By: _________________________________</w:t>
      </w:r>
    </w:p>
    <w:p>
      <w:r>
        <w:t xml:space="preserve">Name: </w:t>
      </w:r>
    </w:p>
    <w:p>
      <w:r>
        <w:t>Title:</w:t>
      </w:r>
    </w:p>
    <w:p>
      <w:pPr>
        <w:jc w:val="both"/>
      </w:pPr>
    </w:p>
    <w:p>
      <w:pPr>
        <w:spacing w:after="200" w:line="276" w:lineRule="auto"/>
        <w:rPr>
          <w:rFonts w:eastAsia="Malgun Gothic" w:cs="Arial"/>
          <w:szCs w:val="22"/>
          <w:lang w:eastAsia="ko-KR"/>
        </w:rPr>
      </w:pPr>
      <w:r>
        <w:rPr>
          <w:rFonts w:eastAsia="Malgun Gothic" w:cs="Arial"/>
          <w:szCs w:val="22"/>
          <w:lang w:eastAsia="ko-KR"/>
        </w:rPr>
        <w:br w:type="page"/>
      </w:r>
    </w:p>
    <w:p>
      <w:pPr>
        <w:spacing w:after="240"/>
        <w:jc w:val="center"/>
        <w:rPr>
          <w:rFonts w:cs="Arial"/>
          <w:b/>
          <w:bCs/>
          <w:sz w:val="20"/>
          <w:szCs w:val="32"/>
        </w:rPr>
      </w:pPr>
      <w:r>
        <w:rPr>
          <w:rFonts w:cs="Arial"/>
          <w:b/>
          <w:bCs/>
          <w:sz w:val="20"/>
          <w:szCs w:val="32"/>
        </w:rPr>
        <w:t>ANNEX 1 TO EXCHANGE NOTICE</w:t>
      </w:r>
    </w:p>
    <w:p>
      <w:pPr>
        <w:spacing w:after="200" w:line="276" w:lineRule="auto"/>
        <w:rPr>
          <w:rFonts w:eastAsia="Malgun Gothic" w:cs="Arial"/>
          <w:szCs w:val="22"/>
          <w:lang w:eastAsia="ko-KR"/>
        </w:rPr>
      </w:pPr>
    </w:p>
    <w:p>
      <w:pPr>
        <w:spacing w:after="200" w:line="276" w:lineRule="auto"/>
        <w:rPr>
          <w:rFonts w:eastAsia="Malgun Gothic" w:cs="Arial"/>
          <w:szCs w:val="22"/>
          <w:lang w:eastAsia="ko-KR"/>
        </w:rPr>
      </w:pPr>
    </w:p>
    <w:p>
      <w:pPr>
        <w:ind w:left="5040"/>
      </w:pPr>
    </w:p>
    <w:p/>
    <w:sectPr>
      <w:footerReference w:type="default" r:id="rId77"/>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pPr>
    <w:r>
      <w:t>732747071 17558721</w:t>
    </w:r>
  </w:p>
  <w:p>
    <w:pPr>
      <w:pStyle w:val="DocID"/>
    </w:pPr>
    <w:bookmarkStart w:id="0" w:name="_iDocIDFielde39de317-1969-46ae-bb2f-9f0a"/>
    <w:r>
      <w:rPr>
        <w:noProof/>
      </w:rPr>
      <w:t>US_Active\120107363\V-2</w:t>
    </w:r>
    <w:bookmarkEnd w:id="0"/>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3265224"/>
      <w:docPartObj>
        <w:docPartGallery w:val="Page Numbers (Bottom of Page)"/>
        <w:docPartUnique/>
      </w:docPartObj>
    </w:sdtPr>
    <w:sdtEndPr>
      <w:rPr>
        <w:noProof/>
      </w:rPr>
    </w:sdtEndPr>
    <w:sdtContent>
      <w:p>
        <w:pPr>
          <w:pStyle w:val="Footer"/>
          <w:jc w:val="center"/>
          <w:rPr>
            <w:noProof/>
          </w:rPr>
        </w:pPr>
        <w:r>
          <w:t>Exhibit A-4-</w:t>
        </w:r>
        <w:r>
          <w:fldChar w:fldCharType="begin"/>
        </w:r>
        <w:r>
          <w:instrText xml:space="preserve"> PAGE   \* MERGEFORMAT </w:instrText>
        </w:r>
        <w:r>
          <w:fldChar w:fldCharType="separate"/>
        </w:r>
        <w:r>
          <w:rPr>
            <w:noProof/>
          </w:rPr>
          <w:t>3</w:t>
        </w:r>
        <w:r>
          <w:rPr>
            <w:noProof/>
          </w:rPr>
          <w:fldChar w:fldCharType="end"/>
        </w:r>
      </w:p>
    </w:sdtContent>
  </w:sdt>
  <w:p>
    <w:pPr>
      <w:pStyle w:val="Footer"/>
    </w:pPr>
    <w:r>
      <w:rPr>
        <w:noProof/>
      </w:rPr>
      <w:pict>
        <v:shapetype id="_x0000_t202" coordsize="21600,21600" o:spt="202" path="m,l,21600r21600,l21600,xe">
          <v:stroke joinstyle="miter"/>
          <v:path gradientshapeok="t" o:connecttype="rect"/>
        </v:shapetype>
        <v:shape id="zzmpTrailer_4403_129" o:spid="_x0000_s2053" type="#_x0000_t202" style="width:468pt;height:20.15pt;margin-top:0;margin-left:0;mso-position-horizontal-relative:margin;position:absolute;visibility:visible;z-index:-251654144"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2" w:name="_iDocIDField181f4ef3-45b9-4ee5-909a-cc73"/>
    <w:r>
      <w:rPr>
        <w:noProof/>
      </w:rPr>
      <w:t>US_Active\120107363\V-2</w:t>
    </w:r>
    <w:bookmarkEnd w:id="12"/>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A-5-</w:t>
    </w:r>
    <w:sdt>
      <w:sdtPr>
        <w:id w:val="-17795648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159" o:spid="_x0000_s2054" type="#_x0000_t202" style="width:468pt;height:20.15pt;margin-top:0;margin-left:0;mso-position-horizontal-relative:margin;position:absolute;visibility:visible;z-index:-25165312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3" w:name="_iDocIDField3d3a3e5e-50c3-442b-b09d-1d7e"/>
    <w:r>
      <w:rPr>
        <w:noProof/>
      </w:rPr>
      <w:t>US_Active\120107363\V-2</w:t>
    </w:r>
    <w:bookmarkEnd w:id="13"/>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A-6-</w:t>
    </w:r>
    <w:sdt>
      <w:sdtPr>
        <w:id w:val="-19552394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189" o:spid="_x0000_s2055" type="#_x0000_t202" style="width:468pt;height:20.15pt;margin-top:0;margin-left:0;mso-position-horizontal-relative:margin;position:absolute;visibility:visible;z-index:-251652096"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4" w:name="_iDocIDFieldcf9eb713-abb6-4652-859a-5d2b"/>
    <w:r>
      <w:rPr>
        <w:noProof/>
      </w:rPr>
      <w:t>US_Active\120107363\V-2</w:t>
    </w:r>
    <w:bookmarkEnd w:id="14"/>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pPr>
    <w:r>
      <w:t>732747071 17558721</w:t>
    </w:r>
  </w:p>
  <w:p>
    <w:pPr>
      <w:pStyle w:val="DocID"/>
    </w:pPr>
    <w:bookmarkStart w:id="15" w:name="_iDocIDFieldad1ea982-072c-4be2-8d02-f3cd"/>
    <w:r>
      <w:rPr>
        <w:noProof/>
      </w:rPr>
      <w:t>US_Active\120107363\V-2</w:t>
    </w:r>
    <w:bookmarkEnd w:id="15"/>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t>________________________</w:t>
    </w:r>
  </w:p>
  <w:p>
    <w:pPr>
      <w:pStyle w:val="Footer"/>
      <w:jc w:val="both"/>
      <w:rPr>
        <w:sz w:val="20"/>
      </w:rPr>
    </w:pPr>
    <w:r>
      <w:rPr>
        <w:vertAlign w:val="superscript"/>
      </w:rPr>
      <w:t>*</w:t>
    </w:r>
    <w:r>
      <w:rPr>
        <w:sz w:val="20"/>
      </w:rPr>
      <w:t>[</w:t>
    </w:r>
    <w:r>
      <w:rPr>
        <w:b/>
        <w:sz w:val="20"/>
      </w:rPr>
      <w:t>Insert for Class A-1 Notes only</w:t>
    </w:r>
    <w:r>
      <w:rPr>
        <w:sz w:val="20"/>
      </w:rPr>
      <w:t>: [●]%]</w:t>
    </w:r>
  </w:p>
  <w:p>
    <w:pPr>
      <w:pStyle w:val="Footer"/>
      <w:jc w:val="both"/>
      <w:rPr>
        <w:sz w:val="20"/>
      </w:rPr>
    </w:pPr>
    <w:r>
      <w:rPr>
        <w:sz w:val="20"/>
      </w:rPr>
      <w:t>*[</w:t>
    </w:r>
    <w:r>
      <w:rPr>
        <w:b/>
        <w:sz w:val="20"/>
      </w:rPr>
      <w:t>Insert for Class A-2 Notes only</w:t>
    </w:r>
    <w:r>
      <w:rPr>
        <w:sz w:val="20"/>
      </w:rPr>
      <w:t>: [●]%]</w:t>
    </w:r>
  </w:p>
  <w:p>
    <w:pPr>
      <w:pStyle w:val="Footer"/>
      <w:jc w:val="both"/>
      <w:rPr>
        <w:sz w:val="20"/>
      </w:rPr>
    </w:pPr>
    <w:r>
      <w:rPr>
        <w:sz w:val="20"/>
      </w:rPr>
      <w:t>*[</w:t>
    </w:r>
    <w:r>
      <w:rPr>
        <w:b/>
        <w:sz w:val="20"/>
      </w:rPr>
      <w:t>Insert for Class A-3 Notes only</w:t>
    </w:r>
    <w:r>
      <w:rPr>
        <w:sz w:val="20"/>
      </w:rPr>
      <w:t>: [●]%]</w:t>
    </w:r>
  </w:p>
  <w:p>
    <w:pPr>
      <w:pStyle w:val="Footer"/>
      <w:jc w:val="both"/>
    </w:pPr>
  </w:p>
  <w:p>
    <w:pPr>
      <w:pStyle w:val="FooterReference"/>
      <w:rPr>
        <w:rStyle w:val="PageNumber"/>
      </w:rPr>
    </w:pPr>
    <w:r>
      <w:rPr>
        <w:rStyle w:val="PageNumber"/>
      </w:rPr>
      <w:t>732747071 17558721</w:t>
    </w:r>
  </w:p>
  <w:p>
    <w:pPr>
      <w:pStyle w:val="DocID"/>
    </w:pPr>
    <w:bookmarkStart w:id="16" w:name="_iDocIDField3c7336fc-62ae-4dcb-85d6-caeb"/>
    <w:r>
      <w:rPr>
        <w:noProof/>
      </w:rPr>
      <w:t>US_Active\120107363\V-2</w:t>
    </w:r>
    <w:bookmarkEnd w:id="16"/>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A-7-</w:t>
    </w:r>
    <w:sdt>
      <w:sdtPr>
        <w:id w:val="-13673710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219" o:spid="_x0000_s2056" type="#_x0000_t202" style="width:468pt;height:20.15pt;margin-top:0;margin-left:0;mso-position-horizontal-relative:margin;position:absolute;visibility:visible;z-index:-251651072"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7" w:name="_iDocIDField786076a8-d630-4a2e-8e1a-95ce"/>
    <w:r>
      <w:rPr>
        <w:noProof/>
      </w:rPr>
      <w:t>US_Active\120107363\V-2</w:t>
    </w:r>
    <w:bookmarkEnd w:id="17"/>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DocID"/>
    </w:pPr>
    <w:bookmarkStart w:id="18" w:name="_iDocIDField59ccc3fa-5af6-417b-a760-cb98"/>
    <w:r>
      <w:rPr>
        <w:noProof/>
      </w:rPr>
      <w:t>US_Active\120107363\V-2</w:t>
    </w:r>
    <w:bookmarkEnd w:id="18"/>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rPr>
        <w:rStyle w:val="PageNumber"/>
      </w:rPr>
    </w:pPr>
    <w:r>
      <w:rPr>
        <w:rStyle w:val="PageNumber"/>
      </w:rPr>
      <w:t>732747071 17558721</w:t>
    </w:r>
  </w:p>
  <w:p>
    <w:pPr>
      <w:pStyle w:val="DocID"/>
    </w:pPr>
    <w:bookmarkStart w:id="19" w:name="_iDocIDField46d61e79-8fcf-47e6-8abb-7003"/>
    <w:r>
      <w:rPr>
        <w:noProof/>
      </w:rPr>
      <w:t>US_Active\120107363\V-2</w:t>
    </w:r>
    <w:bookmarkEnd w:id="19"/>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pPr>
    <w:r>
      <w:t>732747071 17558721</w:t>
    </w:r>
  </w:p>
  <w:p>
    <w:pPr>
      <w:pStyle w:val="DocID"/>
    </w:pPr>
    <w:bookmarkStart w:id="20" w:name="_iDocIDFieldc89c2aac-1c41-4caa-b7e5-3653"/>
    <w:r>
      <w:rPr>
        <w:noProof/>
      </w:rPr>
      <w:t>US_Active\120107363\V-2</w:t>
    </w:r>
    <w:bookmarkEnd w:id="20"/>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870911"/>
      <w:docPartObj>
        <w:docPartGallery w:val="Page Numbers (Bottom of Page)"/>
        <w:docPartUnique/>
      </w:docPartObj>
    </w:sdtPr>
    <w:sdtEndPr>
      <w:rPr>
        <w:noProof/>
      </w:rPr>
    </w:sdtEndPr>
    <w:sdtContent>
      <w:p>
        <w:pPr>
          <w:pStyle w:val="Footer"/>
          <w:jc w:val="center"/>
          <w:rPr>
            <w:noProof/>
          </w:rPr>
        </w:pPr>
        <w:r>
          <w:t>Exhibit A-8-</w:t>
        </w:r>
        <w:r>
          <w:fldChar w:fldCharType="begin"/>
        </w:r>
        <w:r>
          <w:instrText xml:space="preserve"> PAGE   \* MERGEFORMAT </w:instrText>
        </w:r>
        <w:r>
          <w:fldChar w:fldCharType="separate"/>
        </w:r>
        <w:r>
          <w:rPr>
            <w:noProof/>
          </w:rPr>
          <w:t>1</w:t>
        </w:r>
        <w:r>
          <w:rPr>
            <w:noProof/>
          </w:rPr>
          <w:fldChar w:fldCharType="end"/>
        </w:r>
      </w:p>
    </w:sdtContent>
  </w:sdt>
  <w:p>
    <w:pPr>
      <w:pStyle w:val="Footer"/>
    </w:pPr>
    <w:r>
      <w:rPr>
        <w:noProof/>
      </w:rPr>
      <w:pict>
        <v:shapetype id="_x0000_t202" coordsize="21600,21600" o:spt="202" path="m,l,21600r21600,l21600,xe">
          <v:stroke joinstyle="miter"/>
          <v:path gradientshapeok="t" o:connecttype="rect"/>
        </v:shapetype>
        <v:shape id="zzmpTrailer_4403_249" o:spid="_x0000_s2057" type="#_x0000_t202" style="width:468pt;height:20.15pt;margin-top:0;margin-left:0;mso-position-horizontal-relative:margin;position:absolute;visibility:visible;z-index:-251650048"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1" w:name="_iDocIDField332dea06-ab06-49fd-a0c3-7335"/>
    <w:r>
      <w:rPr>
        <w:noProof/>
      </w:rPr>
      <w:t>US_Active\120107363\V-2</w:t>
    </w:r>
    <w:bookmarkEnd w:id="2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w:t>
    </w:r>
    <w:sdt>
      <w:sdtPr>
        <w:id w:val="-1252810038"/>
        <w:docPartObj>
          <w:docPartGallery w:val="Page Numbers (Bottom of Page)"/>
          <w:docPartUnique/>
        </w:docPartObj>
      </w:sdtPr>
      <w:sdtEndPr>
        <w:rPr>
          <w:noProof/>
        </w:rPr>
      </w:sdtEndPr>
      <w:sdtContent>
        <w:r>
          <w:t>1-</w:t>
        </w:r>
        <w:r>
          <w:fldChar w:fldCharType="begin"/>
        </w:r>
        <w:r>
          <w:instrText xml:space="preserve"> PAGE   \* MERGEFORMAT </w:instrText>
        </w:r>
        <w:r>
          <w:fldChar w:fldCharType="separate"/>
        </w:r>
        <w:r>
          <w:rPr>
            <w:noProof/>
          </w:rPr>
          <w:t>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19" o:spid="_x0000_s2049" type="#_x0000_t202" style="width:468pt;height:20.15pt;margin-top:0;margin-left:0;mso-position-horizontal-relative:margin;position:absolute;visibility:visible;z-index:-25165824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 w:name="_iDocIDField6d7b5ff0-290d-4df1-81c3-8aa1"/>
    <w:r>
      <w:rPr>
        <w:noProof/>
      </w:rPr>
      <w:t>US_Active\120107363\V-2</w:t>
    </w:r>
    <w:bookmarkEnd w:id="1"/>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Reference"/>
      <w:rPr>
        <w:rStyle w:val="PageNumber"/>
      </w:rPr>
    </w:pPr>
    <w:r>
      <w:rPr>
        <w:rStyle w:val="PageNumber"/>
      </w:rPr>
      <w:t>732747071 17558721</w:t>
    </w:r>
  </w:p>
  <w:p>
    <w:pPr>
      <w:pStyle w:val="DocID"/>
    </w:pPr>
    <w:bookmarkStart w:id="22" w:name="_iDocIDField26b2e10b-433e-4b36-a9ba-c888"/>
    <w:r>
      <w:rPr>
        <w:noProof/>
      </w:rPr>
      <w:t>US_Active\120107363\V-2</w:t>
    </w:r>
    <w:bookmarkEnd w:id="22"/>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3905368"/>
      <w:docPartObj>
        <w:docPartGallery w:val="Page Numbers (Bottom of Page)"/>
        <w:docPartUnique/>
      </w:docPartObj>
    </w:sdtPr>
    <w:sdtEndPr>
      <w:rPr>
        <w:noProof/>
      </w:rPr>
    </w:sdtEndPr>
    <w:sdtContent>
      <w:p>
        <w:pPr>
          <w:pStyle w:val="Footer"/>
          <w:jc w:val="center"/>
          <w:rPr>
            <w:noProof/>
          </w:rPr>
        </w:pPr>
        <w:r>
          <w:t>Exhibit A-8-</w:t>
        </w:r>
        <w:r>
          <w:fldChar w:fldCharType="begin"/>
        </w:r>
        <w:r>
          <w:instrText xml:space="preserve"> PAGE   \* MERGEFORMAT </w:instrText>
        </w:r>
        <w:r>
          <w:fldChar w:fldCharType="separate"/>
        </w:r>
        <w:r>
          <w:rPr>
            <w:noProof/>
          </w:rPr>
          <w:t>12</w:t>
        </w:r>
        <w:r>
          <w:rPr>
            <w:noProof/>
          </w:rPr>
          <w:fldChar w:fldCharType="end"/>
        </w:r>
      </w:p>
    </w:sdtContent>
  </w:sdt>
  <w:p>
    <w:pPr>
      <w:pStyle w:val="Footer"/>
    </w:pPr>
    <w:r>
      <w:rPr>
        <w:noProof/>
      </w:rPr>
      <w:pict>
        <v:shapetype id="_x0000_t202" coordsize="21600,21600" o:spt="202" path="m,l,21600r21600,l21600,xe">
          <v:stroke joinstyle="miter"/>
          <v:path gradientshapeok="t" o:connecttype="rect"/>
        </v:shapetype>
        <v:shape id="zzmpTrailer_4403_269" o:spid="_x0000_s2058" type="#_x0000_t202" style="width:468pt;height:20.15pt;margin-top:0;margin-left:0;mso-position-horizontal-relative:margin;position:absolute;visibility:visible;z-index:-251649024"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3" w:name="_iDocIDField45eb336e-90ce-486c-b82a-fdd4"/>
    <w:r>
      <w:rPr>
        <w:noProof/>
      </w:rPr>
      <w:t>US_Active\120107363\V-2</w:t>
    </w:r>
    <w:bookmarkEnd w:id="23"/>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A-9-</w:t>
    </w:r>
    <w:sdt>
      <w:sdtPr>
        <w:id w:val="10914288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299" o:spid="_x0000_s2059" type="#_x0000_t202" style="width:468pt;height:20.15pt;margin-top:0;margin-left:0;mso-position-horizontal-relative:margin;position:absolute;visibility:visible;z-index:-25164800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4" w:name="_iDocIDField2e0883c1-669a-46ef-a42c-efc9"/>
    <w:r>
      <w:rPr>
        <w:noProof/>
      </w:rPr>
      <w:t>US_Active\120107363\V-2</w:t>
    </w:r>
    <w:bookmarkEnd w:id="24"/>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A-10-</w:t>
    </w:r>
    <w:sdt>
      <w:sdtPr>
        <w:id w:val="-3451680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339" o:spid="_x0000_s2060" type="#_x0000_t202" style="width:468pt;height:20.15pt;margin-top:0;margin-left:0;mso-position-horizontal-relative:margin;position:absolute;visibility:visible;z-index:-251646976"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5" w:name="_iDocIDFieldc137ba5c-b987-4994-a0a3-39b8"/>
    <w:r>
      <w:rPr>
        <w:noProof/>
      </w:rPr>
      <w:t>US_Active\120107363\V-2</w:t>
    </w:r>
    <w:bookmarkEnd w:id="25"/>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A-11-</w:t>
    </w:r>
    <w:sdt>
      <w:sdtPr>
        <w:id w:val="13553070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379" o:spid="_x0000_s2061" type="#_x0000_t202" style="width:468pt;height:20.15pt;margin-top:0;margin-left:0;mso-position-horizontal-relative:margin;position:absolute;visibility:visible;z-index:-251645952"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6" w:name="_iDocIDField3e9abd05-db12-4d35-867c-d157"/>
    <w:r>
      <w:rPr>
        <w:noProof/>
      </w:rPr>
      <w:t>US_Active\120107363\V-2</w:t>
    </w:r>
    <w:bookmarkEnd w:id="26"/>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A-12-</w:t>
    </w:r>
    <w:sdt>
      <w:sdtPr>
        <w:id w:val="2776040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419" o:spid="_x0000_s2062" type="#_x0000_t202" style="width:468pt;height:20.15pt;margin-top:0;margin-left:0;mso-position-horizontal-relative:margin;position:absolute;visibility:visible;z-index:-251644928"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7" w:name="_iDocIDField443c7d00-3d7b-45b2-99ac-4edb"/>
    <w:r>
      <w:rPr>
        <w:noProof/>
      </w:rPr>
      <w:t>US_Active\120107363\V-2</w:t>
    </w:r>
    <w:bookmarkEnd w:id="27"/>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A-13-</w:t>
    </w:r>
    <w:sdt>
      <w:sdtPr>
        <w:id w:val="-14270310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449" o:spid="_x0000_s2063" type="#_x0000_t202" style="width:468pt;height:20.15pt;margin-top:0;margin-left:0;mso-position-horizontal-relative:margin;position:absolute;visibility:visible;z-index:-251643904"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28" w:name="_iDocIDFieldfadf2602-4cff-4706-8eba-3f37"/>
    <w:r>
      <w:rPr>
        <w:noProof/>
      </w:rPr>
      <w:t>US_Active\120107363\V-2</w:t>
    </w:r>
    <w:bookmarkEnd w:id="28"/>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A-14-</w:t>
    </w:r>
    <w:sdt>
      <w:sdtPr>
        <w:id w:val="11025363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pPr>
      <w:pStyle w:val="DocID"/>
    </w:pPr>
    <w:bookmarkStart w:id="29" w:name="_iDocIDField80d65c20-8703-4f47-bc7e-d471"/>
    <w:r>
      <w:rPr>
        <w:noProof/>
      </w:rPr>
      <w:t>US_Active\120107363\V-2</w:t>
    </w:r>
    <w:bookmarkEnd w:id="29"/>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A-15-</w:t>
    </w:r>
    <w:sdt>
      <w:sdtPr>
        <w:id w:val="1568533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509" o:spid="_x0000_s2064" type="#_x0000_t202" style="width:468pt;height:20.15pt;margin-top:0;margin-left:0;mso-position-horizontal-relative:margin;position:absolute;visibility:visible;z-index:-25164288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30" w:name="_iDocIDFieldc44ba136-b6e0-4480-a8d2-2e66"/>
    <w:r>
      <w:rPr>
        <w:noProof/>
      </w:rPr>
      <w:t>US_Active\120107363\V-2</w:t>
    </w:r>
    <w:bookmarkEnd w:id="30"/>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A-16-</w:t>
    </w:r>
    <w:sdt>
      <w:sdtPr>
        <w:id w:val="19693219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539" o:spid="_x0000_s2065" type="#_x0000_t202" style="width:468pt;height:20.15pt;margin-top:0;margin-left:0;mso-position-horizontal-relative:margin;position:absolute;visibility:visible;z-index:-251641856"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31" w:name="_iDocIDFieldd899c91e-338e-4815-916c-14d8"/>
    <w:r>
      <w:rPr>
        <w:noProof/>
      </w:rPr>
      <w:t>US_Active\120107363\V-2</w:t>
    </w:r>
    <w:bookmarkEnd w:id="3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463372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t>1</w:t>
        </w:r>
        <w:r>
          <w:rPr>
            <w:noProof/>
          </w:rPr>
          <w:fldChar w:fldCharType="end"/>
        </w:r>
      </w:p>
    </w:sdtContent>
  </w:sdt>
  <w:p>
    <w:pPr>
      <w:pStyle w:val="DocID"/>
    </w:pPr>
    <w:bookmarkStart w:id="2" w:name="_iDocIDField2382191c-8ea6-4b7a-bf15-b6ee"/>
    <w:r>
      <w:rPr>
        <w:noProof/>
      </w:rPr>
      <w:t>US_Active\120107363\V-2</w:t>
    </w:r>
    <w:bookmarkEnd w:id="2"/>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DocID"/>
    </w:pPr>
    <w:bookmarkStart w:id="32" w:name="_iDocIDField52aee627-309d-4fa5-8fc7-ed72"/>
    <w:r>
      <w:rPr>
        <w:noProof/>
      </w:rPr>
      <w:t>US_Active\120107363\V-2</w:t>
    </w:r>
    <w:bookmarkEnd w:id="32"/>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A-16-</w:t>
    </w:r>
    <w:sdt>
      <w:sdtPr>
        <w:id w:val="1079022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559" o:spid="_x0000_s2066" type="#_x0000_t202" style="width:468pt;height:20.15pt;margin-top:0;margin-left:0;mso-position-horizontal-relative:margin;position:absolute;visibility:visible;z-index:-251640832"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33" w:name="_iDocIDField7fc7e6ec-49e0-4d0e-9a2c-f081"/>
    <w:r>
      <w:rPr>
        <w:noProof/>
      </w:rPr>
      <w:t>US_Active\120107363\V-2</w:t>
    </w:r>
    <w:bookmarkEnd w:id="33"/>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pPr>
    <w:r>
      <w:t>732747071 17558721</w:t>
    </w:r>
  </w:p>
  <w:p>
    <w:pPr>
      <w:pStyle w:val="DocID"/>
    </w:pPr>
    <w:bookmarkStart w:id="34" w:name="_iDocIDField5c19764a-44f2-4fec-838c-0bae"/>
    <w:r>
      <w:rPr>
        <w:noProof/>
      </w:rPr>
      <w:t>US_Active\120107363\V-2</w:t>
    </w:r>
    <w:bookmarkEnd w:id="34"/>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34966404"/>
      <w:docPartObj>
        <w:docPartGallery w:val="Page Numbers (Bottom of Page)"/>
        <w:docPartUnique/>
      </w:docPartObj>
    </w:sdtPr>
    <w:sdtEndPr>
      <w:rPr>
        <w:noProof/>
      </w:rPr>
    </w:sdtEndPr>
    <w:sdtContent>
      <w:p>
        <w:pPr>
          <w:pStyle w:val="Footer"/>
          <w:jc w:val="center"/>
          <w:rPr>
            <w:noProof/>
          </w:rPr>
        </w:pPr>
        <w:r>
          <w:t>Exhibit A-17-</w:t>
        </w:r>
        <w:r>
          <w:fldChar w:fldCharType="begin"/>
        </w:r>
        <w:r>
          <w:instrText xml:space="preserve"> PAGE   \* MERGEFORMAT </w:instrText>
        </w:r>
        <w:r>
          <w:fldChar w:fldCharType="separate"/>
        </w:r>
        <w:r>
          <w:rPr>
            <w:noProof/>
          </w:rPr>
          <w:t>1</w:t>
        </w:r>
        <w:r>
          <w:rPr>
            <w:noProof/>
          </w:rPr>
          <w:fldChar w:fldCharType="end"/>
        </w:r>
      </w:p>
    </w:sdtContent>
  </w:sdt>
  <w:p>
    <w:pPr>
      <w:pStyle w:val="Footer"/>
    </w:pPr>
    <w:r>
      <w:rPr>
        <w:noProof/>
      </w:rPr>
      <w:pict>
        <v:shapetype id="_x0000_t202" coordsize="21600,21600" o:spt="202" path="m,l,21600r21600,l21600,xe">
          <v:stroke joinstyle="miter"/>
          <v:path gradientshapeok="t" o:connecttype="rect"/>
        </v:shapetype>
        <v:shape id="zzmpTrailer_4403_569" o:spid="_x0000_s2067" type="#_x0000_t202" style="width:468pt;height:20.15pt;margin-top:0;margin-left:0;mso-position-horizontal-relative:margin;position:absolute;visibility:visible;z-index:-251639808"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35" w:name="_iDocIDFieldc1304809-20a4-4654-8cfd-2fa4"/>
    <w:r>
      <w:rPr>
        <w:noProof/>
      </w:rPr>
      <w:t>US_Active\120107363\V-2</w:t>
    </w:r>
    <w:bookmarkEnd w:id="35"/>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Reference"/>
      <w:rPr>
        <w:rStyle w:val="PageNumber"/>
      </w:rPr>
    </w:pPr>
    <w:r>
      <w:rPr>
        <w:rStyle w:val="PageNumber"/>
      </w:rPr>
      <w:t>732747071 17558721</w:t>
    </w:r>
  </w:p>
  <w:p>
    <w:pPr>
      <w:pStyle w:val="DocID"/>
    </w:pPr>
    <w:bookmarkStart w:id="36" w:name="_iDocIDField834c3cff-6d9b-4b37-8cfd-88f9"/>
    <w:r>
      <w:rPr>
        <w:noProof/>
      </w:rPr>
      <w:t>US_Active\120107363\V-2</w:t>
    </w:r>
    <w:bookmarkEnd w:id="36"/>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3929494"/>
      <w:docPartObj>
        <w:docPartGallery w:val="Page Numbers (Bottom of Page)"/>
        <w:docPartUnique/>
      </w:docPartObj>
    </w:sdtPr>
    <w:sdtEndPr>
      <w:rPr>
        <w:noProof/>
      </w:rPr>
    </w:sdtEndPr>
    <w:sdtContent>
      <w:p>
        <w:pPr>
          <w:pStyle w:val="Footer"/>
          <w:jc w:val="center"/>
          <w:rPr>
            <w:noProof/>
          </w:rPr>
        </w:pPr>
        <w:r>
          <w:t>Exhibit A-17-</w:t>
        </w:r>
        <w:r>
          <w:fldChar w:fldCharType="begin"/>
        </w:r>
        <w:r>
          <w:instrText xml:space="preserve"> PAGE   \* MERGEFORMAT </w:instrText>
        </w:r>
        <w:r>
          <w:fldChar w:fldCharType="separate"/>
        </w:r>
        <w:r>
          <w:rPr>
            <w:noProof/>
          </w:rPr>
          <w:t>12</w:t>
        </w:r>
        <w:r>
          <w:rPr>
            <w:noProof/>
          </w:rPr>
          <w:fldChar w:fldCharType="end"/>
        </w:r>
      </w:p>
    </w:sdtContent>
  </w:sdt>
  <w:p>
    <w:pPr>
      <w:pStyle w:val="DocID"/>
    </w:pPr>
    <w:bookmarkStart w:id="37" w:name="_iDocIDFielda37971af-fe5a-49bc-8066-9512"/>
    <w:r>
      <w:rPr>
        <w:noProof/>
      </w:rPr>
      <w:t>US_Active\120107363\V-2</w:t>
    </w:r>
    <w:bookmarkEnd w:id="37"/>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A-18-</w:t>
    </w:r>
    <w:sdt>
      <w:sdtPr>
        <w:id w:val="-12590501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19" o:spid="_x0000_s2068" type="#_x0000_t202" style="width:468pt;height:20.15pt;margin-top:0;margin-left:0;mso-position-horizontal-relative:margin;position:absolute;visibility:visible;z-index:-251638784"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38" w:name="_iDocIDField0e8a31c9-1785-41a6-b607-4f28"/>
    <w:r>
      <w:rPr>
        <w:noProof/>
      </w:rPr>
      <w:t>US_Active\120107363\V-2</w:t>
    </w:r>
    <w:bookmarkEnd w:id="38"/>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A-18-</w:t>
    </w:r>
    <w:sdt>
      <w:sdtPr>
        <w:id w:val="18865294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39" o:spid="_x0000_s2069" type="#_x0000_t202" style="width:468pt;height:20.15pt;margin-top:0;margin-left:0;mso-position-horizontal-relative:margin;position:absolute;visibility:visible;z-index:-25163776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39" w:name="_iDocIDField7c634c47-1afb-4651-91f4-a449"/>
    <w:r>
      <w:rPr>
        <w:noProof/>
      </w:rPr>
      <w:t>US_Active\120107363\V-2</w:t>
    </w:r>
    <w:bookmarkEnd w:id="39"/>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A-18-</w:t>
    </w:r>
    <w:sdt>
      <w:sdtPr>
        <w:id w:val="-12297579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49" o:spid="_x0000_s2070" type="#_x0000_t202" style="width:468pt;height:20.15pt;margin-top:0;margin-left:0;mso-position-horizontal-relative:margin;position:absolute;visibility:visible;z-index:-251636736"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40" w:name="_iDocIDField66785cf0-522f-4ff2-bd42-212e"/>
    <w:r>
      <w:rPr>
        <w:noProof/>
      </w:rPr>
      <w:t>US_Active\120107363\V-2</w:t>
    </w:r>
    <w:bookmarkEnd w:id="40"/>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B-1-</w:t>
    </w:r>
    <w:sdt>
      <w:sdtPr>
        <w:id w:val="6091710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59" o:spid="_x0000_s2071" type="#_x0000_t202" style="width:468pt;height:20.15pt;margin-top:0;margin-left:0;mso-position-horizontal-relative:margin;position:absolute;visibility:visible;z-index:-251635712"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41" w:name="_iDocIDFielda028e0ff-bfe2-479f-9db4-72fa"/>
    <w:r>
      <w:rPr>
        <w:noProof/>
      </w:rPr>
      <w:t>US_Active\120107363\V-2</w:t>
    </w:r>
    <w:bookmarkEnd w:id="4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rPr>
        <w:rStyle w:val="PageNumber"/>
      </w:rPr>
    </w:pPr>
    <w:r>
      <w:rPr>
        <w:rStyle w:val="PageNumber"/>
      </w:rPr>
      <w:t>732747071 17558721</w:t>
    </w:r>
  </w:p>
  <w:p>
    <w:pPr>
      <w:pStyle w:val="DocID"/>
    </w:pPr>
    <w:bookmarkStart w:id="6" w:name="_iDocIDField6c40675b-368d-4a4c-a856-d6cf"/>
    <w:r>
      <w:rPr>
        <w:noProof/>
      </w:rPr>
      <w:t>US_Active\120107363\V-2</w:t>
    </w:r>
    <w:bookmarkEnd w:id="6"/>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B-2-</w:t>
    </w:r>
    <w:sdt>
      <w:sdtPr>
        <w:id w:val="-13292844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pPr>
      <w:pStyle w:val="DocID"/>
    </w:pPr>
    <w:bookmarkStart w:id="42" w:name="_iDocIDField34cc213c-cb18-4b36-a3da-c011"/>
    <w:r>
      <w:rPr>
        <w:noProof/>
      </w:rPr>
      <w:t>US_Active\120107363\V-2</w:t>
    </w:r>
    <w:bookmarkEnd w:id="42"/>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B-3-</w:t>
    </w:r>
    <w:sdt>
      <w:sdtPr>
        <w:id w:val="3563239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79" o:spid="_x0000_s2072" type="#_x0000_t202" style="width:468pt;height:20.15pt;margin-top:0;margin-left:0;mso-position-horizontal-relative:margin;position:absolute;visibility:visible;z-index:-251634688"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43" w:name="_iDocIDField13184fd9-4c3c-4e3d-9fca-ef9d"/>
    <w:r>
      <w:rPr>
        <w:noProof/>
      </w:rPr>
      <w:t>US_Active\120107363\V-2</w:t>
    </w:r>
    <w:bookmarkEnd w:id="43"/>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pPr>
    <w:r>
      <w:tab/>
      <w:t>C-</w:t>
    </w:r>
  </w:p>
  <w:p>
    <w:pPr>
      <w:pStyle w:val="FooterReference"/>
    </w:pPr>
    <w:r>
      <w:t>732747071 17558721</w:t>
    </w:r>
  </w:p>
  <w:p>
    <w:pPr>
      <w:pStyle w:val="DocID"/>
    </w:pPr>
    <w:bookmarkStart w:id="44" w:name="_iDocIDField20bad35f-514e-43cb-b7b3-4341"/>
    <w:r>
      <w:rPr>
        <w:noProof/>
      </w:rPr>
      <w:t>US_Active\120107363\V-2</w:t>
    </w:r>
    <w:bookmarkEnd w:id="44"/>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B-4-</w:t>
    </w:r>
    <w:sdt>
      <w:sdtPr>
        <w:id w:val="12281066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89" o:spid="_x0000_s2073" type="#_x0000_t202" style="width:468pt;height:20.15pt;margin-top:0;margin-left:0;mso-position-horizontal-relative:margin;position:absolute;visibility:visible;z-index:-251633664"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45" w:name="_iDocIDField93edcda2-f8e3-4f13-9ff4-883e"/>
    <w:r>
      <w:rPr>
        <w:noProof/>
      </w:rPr>
      <w:t>US_Active\120107363\V-2</w:t>
    </w:r>
    <w:bookmarkEnd w:id="45"/>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B-5-</w:t>
    </w:r>
    <w:sdt>
      <w:sdtPr>
        <w:id w:val="10740137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99" o:spid="_x0000_s2074" type="#_x0000_t202" style="width:468pt;height:20.15pt;margin-top:0;margin-left:0;mso-position-horizontal-relative:margin;position:absolute;visibility:visible;z-index:-25163264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46" w:name="_iDocIDField959706bf-1cfd-46d0-abdf-a07a"/>
    <w:r>
      <w:rPr>
        <w:noProof/>
      </w:rPr>
      <w:t>US_Active\120107363\V-2</w:t>
    </w:r>
    <w:bookmarkEnd w:id="46"/>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B-6-</w:t>
    </w:r>
    <w:sdt>
      <w:sdtPr>
        <w:id w:val="974253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709" o:spid="_x0000_s2075" type="#_x0000_t202" style="width:468pt;height:20.15pt;margin-top:0;margin-left:0;mso-position-horizontal-relative:margin;position:absolute;visibility:visible;z-index:-251631616"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49" w:name="_iDocIDField92edb611-367e-4625-99bb-0a5a"/>
    <w:r>
      <w:rPr>
        <w:noProof/>
      </w:rPr>
      <w:t>US_Active\120107363\V-2</w:t>
    </w:r>
    <w:bookmarkEnd w:id="49"/>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B-7-</w:t>
    </w:r>
    <w:sdt>
      <w:sdtPr>
        <w:id w:val="14795718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719" o:spid="_x0000_s2076" type="#_x0000_t202" style="width:468pt;height:20.15pt;margin-top:0;margin-left:0;mso-position-horizontal-relative:margin;position:absolute;visibility:visible;z-index:-251630592"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50" w:name="_iDocIDFieldf72f2406-e0de-4824-b90c-1391"/>
    <w:r>
      <w:rPr>
        <w:noProof/>
      </w:rPr>
      <w:t>US_Active\120107363\V-2</w:t>
    </w:r>
    <w:bookmarkEnd w:id="50"/>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C-</w:t>
    </w:r>
    <w:sdt>
      <w:sdtPr>
        <w:id w:val="8349631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729" o:spid="_x0000_s2077" type="#_x0000_t202" style="width:468pt;height:20.15pt;margin-top:0;margin-left:0;mso-position-horizontal-relative:margin;position:absolute;visibility:visible;z-index:-251629568"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51" w:name="_iDocIDFieldccad4b79-9334-4a05-87af-09e5"/>
    <w:r>
      <w:rPr>
        <w:noProof/>
      </w:rPr>
      <w:t>US_Active\120107363\V-2</w:t>
    </w:r>
    <w:bookmarkEnd w:id="51"/>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D-</w:t>
    </w:r>
    <w:sdt>
      <w:sdtPr>
        <w:id w:val="468170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739" o:spid="_x0000_s2078" type="#_x0000_t202" style="width:468pt;height:20.15pt;margin-top:0;margin-left:0;mso-position-horizontal-relative:margin;position:absolute;visibility:visible;z-index:-251628544"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52" w:name="_iDocIDField6680ffda-1703-48bf-b41c-b9ef"/>
    <w:r>
      <w:rPr>
        <w:noProof/>
      </w:rPr>
      <w:t>US_Active\120107363\V-2</w:t>
    </w:r>
    <w:bookmarkEnd w:id="52"/>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DocID"/>
    </w:pPr>
    <w:bookmarkStart w:id="53" w:name="_iDocIDField7c9223dd-4076-4e98-a312-e651"/>
    <w:r>
      <w:rPr>
        <w:noProof/>
      </w:rPr>
      <w:t>US_Active\120107363\V-2</w:t>
    </w:r>
    <w:bookmarkEnd w:id="53"/>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pPr>
    <w:r>
      <w:t>732747071 17558721</w:t>
    </w:r>
  </w:p>
  <w:p>
    <w:pPr>
      <w:pStyle w:val="DocID"/>
    </w:pPr>
    <w:bookmarkStart w:id="7" w:name="_iDocIDFieldb3a89011-a239-456d-b3c9-e261"/>
    <w:r>
      <w:rPr>
        <w:noProof/>
      </w:rPr>
      <w:t>US_Active\120107363\V-2</w:t>
    </w:r>
    <w:bookmarkEnd w:id="7"/>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t>Exhibit E-</w:t>
    </w:r>
    <w:sdt>
      <w:sdtPr>
        <w:id w:val="18904569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29" o:spid="_x0000_s2079" type="#_x0000_t202" style="width:468pt;height:20.15pt;margin-top:0;margin-left:0;mso-position-horizontal-relative:margin;position:absolute;visibility:visible;z-index:-251627520"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54" w:name="_iDocIDFieldedafcc64-2446-4dd2-9d88-49eb"/>
    <w:r>
      <w:rPr>
        <w:noProof/>
      </w:rPr>
      <w:t>US_Active\120107363\V-2</w:t>
    </w:r>
    <w:bookmarkEnd w:id="5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4919391"/>
      <w:docPartObj>
        <w:docPartGallery w:val="Page Numbers (Bottom of Page)"/>
        <w:docPartUnique/>
      </w:docPartObj>
    </w:sdtPr>
    <w:sdtEndPr>
      <w:rPr>
        <w:noProof/>
      </w:rPr>
    </w:sdtEndPr>
    <w:sdtContent>
      <w:p>
        <w:pPr>
          <w:pStyle w:val="Footer"/>
          <w:jc w:val="center"/>
          <w:rPr>
            <w:noProof/>
          </w:rPr>
        </w:pPr>
        <w:r>
          <w:t>Exhibit A-2-</w:t>
        </w:r>
        <w:r>
          <w:fldChar w:fldCharType="begin"/>
        </w:r>
        <w:r>
          <w:instrText xml:space="preserve"> PAGE   \* MERGEFORMAT </w:instrText>
        </w:r>
        <w:r>
          <w:fldChar w:fldCharType="separate"/>
        </w:r>
        <w:r>
          <w:rPr>
            <w:noProof/>
          </w:rPr>
          <w:t>1</w:t>
        </w:r>
        <w:r>
          <w:rPr>
            <w:noProof/>
          </w:rPr>
          <w:fldChar w:fldCharType="end"/>
        </w:r>
      </w:p>
    </w:sdtContent>
  </w:sdt>
  <w:p>
    <w:pPr>
      <w:pStyle w:val="Footer"/>
    </w:pPr>
    <w:r>
      <w:rPr>
        <w:noProof/>
      </w:rPr>
      <w:pict>
        <v:shapetype id="_x0000_t202" coordsize="21600,21600" o:spt="202" path="m,l,21600r21600,l21600,xe">
          <v:stroke joinstyle="miter"/>
          <v:path gradientshapeok="t" o:connecttype="rect"/>
        </v:shapetype>
        <v:shape id="zzmpTrailer_4403_49" o:spid="_x0000_s2050" type="#_x0000_t202" style="width:468pt;height:20.15pt;margin-top:0;margin-left:0;mso-position-horizontal-relative:margin;position:absolute;visibility:visible;z-index:-251657216"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8" w:name="_iDocIDField980e86b3-6445-4e96-b48b-a815"/>
    <w:r>
      <w:rPr>
        <w:noProof/>
      </w:rPr>
      <w:t>US_Active\120107363\V-2</w:t>
    </w:r>
    <w:bookmarkEnd w:id="8"/>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Reference"/>
      <w:rPr>
        <w:rStyle w:val="PageNumber"/>
      </w:rPr>
    </w:pPr>
    <w:r>
      <w:rPr>
        <w:rStyle w:val="PageNumber"/>
      </w:rPr>
      <w:t>732747071 17558721</w:t>
    </w:r>
  </w:p>
  <w:p>
    <w:pPr>
      <w:pStyle w:val="DocID"/>
    </w:pPr>
    <w:bookmarkStart w:id="9" w:name="_iDocIDField1707ff6e-be5b-4ec6-92a9-957b"/>
    <w:r>
      <w:rPr>
        <w:noProof/>
      </w:rPr>
      <w:t>US_Active\120107363\V-2</w:t>
    </w:r>
    <w:bookmarkEnd w:id="9"/>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noProof/>
      </w:rPr>
    </w:pPr>
    <w:r>
      <w:t>Exhibit A-2-</w:t>
    </w:r>
    <w:sdt>
      <w:sdtPr>
        <w:id w:val="-5808317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pPr>
      <w:pStyle w:val="Footer"/>
    </w:pPr>
    <w:r>
      <w:rPr>
        <w:noProof/>
      </w:rPr>
      <w:pict>
        <v:shapetype id="_x0000_t202" coordsize="21600,21600" o:spt="202" path="m,l,21600r21600,l21600,xe">
          <v:stroke joinstyle="miter"/>
          <v:path gradientshapeok="t" o:connecttype="rect"/>
        </v:shapetype>
        <v:shape id="zzmpTrailer_4403_69" o:spid="_x0000_s2051" type="#_x0000_t202" style="width:468pt;height:20.15pt;margin-top:0;margin-left:0;mso-position-horizontal-relative:margin;position:absolute;visibility:visible;z-index:-251656192"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0" w:name="_iDocIDField38b1c853-d4e2-46eb-b7b8-34c1"/>
    <w:r>
      <w:rPr>
        <w:noProof/>
      </w:rPr>
      <w:t>US_Active\120107363\V-2</w:t>
    </w:r>
    <w:bookmarkEnd w:id="10"/>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86685991"/>
      <w:docPartObj>
        <w:docPartGallery w:val="Page Numbers (Bottom of Page)"/>
        <w:docPartUnique/>
      </w:docPartObj>
    </w:sdtPr>
    <w:sdtEndPr>
      <w:rPr>
        <w:noProof/>
      </w:rPr>
    </w:sdtEndPr>
    <w:sdtContent>
      <w:p>
        <w:pPr>
          <w:pStyle w:val="Footer"/>
          <w:jc w:val="center"/>
          <w:rPr>
            <w:noProof/>
          </w:rPr>
        </w:pPr>
        <w:r>
          <w:t>Exhibit A-3-</w:t>
        </w:r>
        <w:r>
          <w:fldChar w:fldCharType="begin"/>
        </w:r>
        <w:r>
          <w:instrText xml:space="preserve"> PAGE   \* MERGEFORMAT </w:instrText>
        </w:r>
        <w:r>
          <w:fldChar w:fldCharType="separate"/>
        </w:r>
        <w:r>
          <w:rPr>
            <w:noProof/>
          </w:rPr>
          <w:t>5</w:t>
        </w:r>
        <w:r>
          <w:rPr>
            <w:noProof/>
          </w:rPr>
          <w:fldChar w:fldCharType="end"/>
        </w:r>
      </w:p>
    </w:sdtContent>
  </w:sdt>
  <w:p>
    <w:pPr>
      <w:pStyle w:val="Footer"/>
    </w:pPr>
    <w:r>
      <w:rPr>
        <w:noProof/>
      </w:rPr>
      <w:pict>
        <v:shapetype id="_x0000_t202" coordsize="21600,21600" o:spt="202" path="m,l,21600r21600,l21600,xe">
          <v:stroke joinstyle="miter"/>
          <v:path gradientshapeok="t" o:connecttype="rect"/>
        </v:shapetype>
        <v:shape id="zzmpTrailer_4403_99" o:spid="_x0000_s2052" type="#_x0000_t202" style="width:468pt;height:20.15pt;margin-top:0;margin-left:0;mso-position-horizontal-relative:margin;position:absolute;visibility:visible;z-index:-251655168" filled="f" stroked="f">
          <v:textbox inset="0,0,0,0">
            <w:txbxContent>
              <w:p>
                <w:pPr>
                  <w:pStyle w:val="MacPacTrailer"/>
                  <w:tabs>
                    <w:tab w:val="right" w:pos="9360"/>
                  </w:tabs>
                </w:pPr>
                <w:r>
                  <w:tab/>
                </w:r>
              </w:p>
              <w:p>
                <w:pPr>
                  <w:pStyle w:val="MacPacTrailer"/>
                  <w:tabs>
                    <w:tab w:val="right" w:pos="9360"/>
                  </w:tabs>
                </w:pPr>
              </w:p>
            </w:txbxContent>
          </v:textbox>
          <w10:wrap anchorx="margin"/>
        </v:shape>
      </w:pict>
    </w:r>
  </w:p>
  <w:p>
    <w:pPr>
      <w:pStyle w:val="DocID"/>
    </w:pPr>
    <w:bookmarkStart w:id="11" w:name="_iDocIDField7958264f-4627-4936-9e48-7d0d"/>
    <w:r>
      <w:rPr>
        <w:noProof/>
      </w:rPr>
      <w:t>US_Active\120107363\V-2</w:t>
    </w:r>
    <w:bookmarkEnd w:id="1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b/>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b/>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b/>
      </w:rPr>
    </w:pPr>
    <w:r>
      <w:rPr>
        <w:b/>
      </w:rPr>
      <w:t>MB DRAFT 3/__/17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ED52250A"/>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0088B792"/>
    <w:lvl w:ilvl="0">
      <w:start w:val="1"/>
      <w:numFmt w:val="bullet"/>
      <w:lvlText w:val=""/>
      <w:lvlJc w:val="left"/>
      <w:pPr>
        <w:tabs>
          <w:tab w:val="num" w:pos="360"/>
        </w:tabs>
        <w:ind w:left="360" w:hanging="360"/>
      </w:pPr>
      <w:rPr>
        <w:rFonts w:ascii="Symbol" w:hAnsi="Symbol" w:hint="default"/>
      </w:rPr>
    </w:lvl>
  </w:abstractNum>
  <w:abstractNum w:abstractNumId="2">
    <w:nsid w:val="028D1A92"/>
    <w:multiLevelType w:val="singleLevel"/>
    <w:tmpl w:val="E44A66A2"/>
    <w:lvl w:ilvl="0">
      <w:start w:val="1"/>
      <w:numFmt w:val="bullet"/>
      <w:pStyle w:val="MBPTableBullet"/>
      <w:lvlText w:val=""/>
      <w:lvlJc w:val="left"/>
      <w:pPr>
        <w:tabs>
          <w:tab w:val="num" w:pos="720"/>
        </w:tabs>
        <w:ind w:left="720" w:hanging="720"/>
      </w:pPr>
      <w:rPr>
        <w:rFonts w:ascii="Symbol" w:hAnsi="Symbol" w:hint="default"/>
      </w:rPr>
    </w:lvl>
  </w:abstractNum>
  <w:abstractNum w:abstractNumId="3">
    <w:nsid w:val="033F4779"/>
    <w:multiLevelType w:val="singleLevel"/>
    <w:tmpl w:val="4C2472B8"/>
    <w:lvl w:ilvl="0">
      <w:start w:val="4"/>
      <w:numFmt w:val="decimal"/>
      <w:lvlText w:val="%1. "/>
      <w:legacy w:legacy="1" w:legacySpace="0" w:legacyIndent="360"/>
      <w:lvlJc w:val="left"/>
      <w:pPr>
        <w:ind w:left="360" w:hanging="360"/>
      </w:pPr>
      <w:rPr>
        <w:rFonts w:ascii="Arial" w:hAnsi="Arial" w:hint="default"/>
        <w:b/>
        <w:i w:val="0"/>
        <w:sz w:val="20"/>
        <w:u w:val="none"/>
      </w:rPr>
    </w:lvl>
  </w:abstractNum>
  <w:abstractNum w:abstractNumId="4">
    <w:nsid w:val="24883388"/>
    <w:multiLevelType w:val="hybridMultilevel"/>
    <w:tmpl w:val="50BA681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2BD25C9C"/>
    <w:multiLevelType w:val="singleLevel"/>
    <w:tmpl w:val="192C2310"/>
    <w:lvl w:ilvl="0">
      <w:start w:val="5"/>
      <w:numFmt w:val="decimal"/>
      <w:lvlText w:val="%1. "/>
      <w:legacy w:legacy="1" w:legacySpace="0" w:legacyIndent="360"/>
      <w:lvlJc w:val="left"/>
      <w:pPr>
        <w:ind w:left="360" w:hanging="360"/>
      </w:pPr>
      <w:rPr>
        <w:rFonts w:ascii="Arial" w:hAnsi="Arial" w:hint="default"/>
        <w:b/>
        <w:i w:val="0"/>
        <w:sz w:val="20"/>
        <w:u w:val="none"/>
      </w:rPr>
    </w:lvl>
  </w:abstractNum>
  <w:abstractNum w:abstractNumId="6">
    <w:nsid w:val="30E86C4F"/>
    <w:multiLevelType w:val="multilevel"/>
    <w:tmpl w:val="E1ECBCB4"/>
    <w:name w:val="zzmpStandard||Standard|2|3|1|1|4|4||1|4|1||1|4|1||1|4|1||1|4|0||1|4|0||1|4|0||1|4|0||1|4|0||"/>
    <w:lvl w:ilvl="0">
      <w:start w:val="1"/>
      <w:numFmt w:val="decimal"/>
      <w:pStyle w:val="StandardL1"/>
      <w:lvlText w:val="Section %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StandardL2"/>
      <w:lvlText w:val="(%2)"/>
      <w:lvlJc w:val="left"/>
      <w:pPr>
        <w:tabs>
          <w:tab w:val="num" w:pos="1440"/>
        </w:tabs>
        <w:ind w:left="0" w:firstLine="72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7">
    <w:nsid w:val="347E73D7"/>
    <w:multiLevelType w:val="singleLevel"/>
    <w:tmpl w:val="430C8FB2"/>
    <w:lvl w:ilvl="0">
      <w:start w:val="1"/>
      <w:numFmt w:val="bullet"/>
      <w:pStyle w:val="MBPBulletSquare"/>
      <w:lvlText w:val=""/>
      <w:lvlJc w:val="left"/>
      <w:pPr>
        <w:tabs>
          <w:tab w:val="num" w:pos="720"/>
        </w:tabs>
        <w:ind w:left="720" w:hanging="720"/>
      </w:pPr>
      <w:rPr>
        <w:rFonts w:ascii="Wingdings" w:hAnsi="Wingdings" w:hint="default"/>
        <w:sz w:val="16"/>
      </w:rPr>
    </w:lvl>
  </w:abstractNum>
  <w:abstractNum w:abstractNumId="8">
    <w:nsid w:val="3D9E06E0"/>
    <w:multiLevelType w:val="multilevel"/>
    <w:tmpl w:val="6E1212B0"/>
    <w:name w:val="zzmpArticle||Article|2|1|1|4|2|40||1|2|1||1|2|1||1|2|0||1|4|0||1|4|0||1|4|0||1|4|0||mpNA||"/>
    <w:lvl w:ilvl="0">
      <w:start w:val="1"/>
      <w:numFmt w:val="upperRoman"/>
      <w:pStyle w:val="ArticleL1"/>
      <w:suff w:val="nothing"/>
      <w:lvlText w:val="ARTICLE %1"/>
      <w:lvlJc w:val="left"/>
      <w:pPr>
        <w:ind w:left="0" w:firstLine="0"/>
      </w:pPr>
      <w:rPr>
        <w:rFonts w:ascii="Times New Roman" w:hAnsi="Times New Roman" w:cs="Times New Roman" w:hint="default"/>
        <w:b/>
        <w:i w:val="0"/>
        <w:caps/>
        <w:smallCaps w:val="0"/>
        <w:color w:val="auto"/>
        <w:sz w:val="24"/>
        <w:u w:val="none"/>
      </w:rPr>
    </w:lvl>
    <w:lvl w:ilvl="1">
      <w:start w:val="1"/>
      <w:numFmt w:val="decimalZero"/>
      <w:pStyle w:val="ArticleL2"/>
      <w:isLgl/>
      <w:suff w:val="nothing"/>
      <w:lvlText w:val="SECTION %1.%2"/>
      <w:lvlJc w:val="left"/>
      <w:pPr>
        <w:ind w:left="0" w:firstLine="720"/>
      </w:pPr>
      <w:rPr>
        <w:rFonts w:ascii="Times New Roman" w:hAnsi="Times New Roman" w:cs="Times New Roman" w:hint="default"/>
        <w:b/>
        <w:i w:val="0"/>
        <w:caps w:val="0"/>
        <w:color w:val="auto"/>
        <w:u w:val="none"/>
      </w:rPr>
    </w:lvl>
    <w:lvl w:ilvl="2">
      <w:start w:val="1"/>
      <w:numFmt w:val="lowerLetter"/>
      <w:pStyle w:val="ArticleL3"/>
      <w:lvlText w:val="(%3)"/>
      <w:lvlJc w:val="left"/>
      <w:pPr>
        <w:tabs>
          <w:tab w:val="num" w:pos="1440"/>
        </w:tabs>
        <w:ind w:left="0" w:firstLine="720"/>
      </w:pPr>
      <w:rPr>
        <w:rFonts w:ascii="Times New Roman" w:hAnsi="Times New Roman" w:cs="Times New Roman" w:hint="default"/>
        <w:b w:val="0"/>
        <w:i w:val="0"/>
        <w:caps w:val="0"/>
        <w:color w:val="auto"/>
        <w:sz w:val="24"/>
        <w:szCs w:val="24"/>
        <w:u w:val="none"/>
      </w:rPr>
    </w:lvl>
    <w:lvl w:ilvl="3">
      <w:start w:val="1"/>
      <w:numFmt w:val="lowerRoman"/>
      <w:pStyle w:val="ArticleL4"/>
      <w:lvlText w:val="(%4)"/>
      <w:lvlJc w:val="left"/>
      <w:pPr>
        <w:tabs>
          <w:tab w:val="num" w:pos="2160"/>
        </w:tabs>
        <w:ind w:left="720" w:firstLine="720"/>
      </w:pPr>
      <w:rPr>
        <w:rFonts w:hint="default"/>
        <w:b w:val="0"/>
        <w:i w:val="0"/>
        <w:caps w:val="0"/>
        <w:u w:val="none"/>
      </w:rPr>
    </w:lvl>
    <w:lvl w:ilvl="4">
      <w:start w:val="1"/>
      <w:numFmt w:val="lowerRoman"/>
      <w:pStyle w:val="ArticleL5"/>
      <w:lvlText w:val="(%5)"/>
      <w:lvlJc w:val="left"/>
      <w:pPr>
        <w:tabs>
          <w:tab w:val="num" w:pos="2160"/>
        </w:tabs>
        <w:ind w:left="720" w:firstLine="720"/>
      </w:pPr>
      <w:rPr>
        <w:rFonts w:hint="default"/>
        <w:b w:val="0"/>
        <w:i w:val="0"/>
        <w:caps w:val="0"/>
        <w:u w:val="none"/>
      </w:rPr>
    </w:lvl>
    <w:lvl w:ilvl="5">
      <w:start w:val="1"/>
      <w:numFmt w:val="decimal"/>
      <w:pStyle w:val="ArticleL6"/>
      <w:lvlText w:val="(%6)"/>
      <w:lvlJc w:val="left"/>
      <w:pPr>
        <w:tabs>
          <w:tab w:val="num" w:pos="4320"/>
        </w:tabs>
        <w:ind w:left="0" w:firstLine="3600"/>
      </w:pPr>
      <w:rPr>
        <w:rFonts w:hint="default"/>
        <w:b w:val="0"/>
        <w:i w:val="0"/>
        <w:caps w:val="0"/>
        <w:u w:val="none"/>
      </w:rPr>
    </w:lvl>
    <w:lvl w:ilvl="6">
      <w:start w:val="1"/>
      <w:numFmt w:val="lowerLetter"/>
      <w:pStyle w:val="ArticleL7"/>
      <w:lvlText w:val="%7."/>
      <w:lvlJc w:val="left"/>
      <w:pPr>
        <w:tabs>
          <w:tab w:val="num" w:pos="5040"/>
        </w:tabs>
        <w:ind w:left="0" w:firstLine="4320"/>
      </w:pPr>
      <w:rPr>
        <w:rFonts w:hint="default"/>
        <w:b w:val="0"/>
        <w:i w:val="0"/>
        <w:caps w:val="0"/>
        <w:color w:val="auto"/>
        <w:u w:val="none"/>
      </w:rPr>
    </w:lvl>
    <w:lvl w:ilvl="7">
      <w:start w:val="1"/>
      <w:numFmt w:val="lowerRoman"/>
      <w:pStyle w:val="ArticleL8"/>
      <w:lvlText w:val="%8."/>
      <w:lvlJc w:val="left"/>
      <w:pPr>
        <w:tabs>
          <w:tab w:val="num" w:pos="5760"/>
        </w:tabs>
        <w:ind w:left="0" w:firstLine="5040"/>
      </w:pPr>
      <w:rPr>
        <w:rFonts w:hint="default"/>
        <w:b w:val="0"/>
        <w:i w:val="0"/>
        <w:caps w:val="0"/>
        <w:color w:val="auto"/>
        <w:u w:val="none"/>
      </w:rPr>
    </w:lvl>
    <w:lvl w:ilvl="8">
      <w:start w:val="1"/>
      <w:numFmt w:val="decimal"/>
      <w:pStyle w:val="ArticleL9"/>
      <w:lvlText w:val="%9."/>
      <w:lvlJc w:val="left"/>
      <w:pPr>
        <w:tabs>
          <w:tab w:val="num" w:pos="6480"/>
        </w:tabs>
        <w:ind w:left="0" w:firstLine="5760"/>
      </w:pPr>
      <w:rPr>
        <w:rFonts w:hint="default"/>
        <w:b w:val="0"/>
        <w:i w:val="0"/>
        <w:caps w:val="0"/>
        <w:color w:val="auto"/>
        <w:u w:val="none"/>
      </w:rPr>
    </w:lvl>
  </w:abstractNum>
  <w:abstractNum w:abstractNumId="9">
    <w:nsid w:val="455D3E69"/>
    <w:multiLevelType w:val="multilevel"/>
    <w:tmpl w:val="F4367224"/>
    <w:lvl w:ilvl="0">
      <w:start w:val="1"/>
      <w:numFmt w:val="upperRoman"/>
      <w:suff w:val="nothing"/>
      <w:lvlText w:val="ARTICLE %1"/>
      <w:lvlJc w:val="left"/>
      <w:pPr>
        <w:ind w:left="0" w:firstLine="0"/>
      </w:pPr>
    </w:lvl>
    <w:lvl w:ilvl="1">
      <w:start w:val="1"/>
      <w:numFmt w:val="decimal"/>
      <w:pStyle w:val="Heading2"/>
      <w:suff w:val="nothing"/>
      <w:lvlText w:val="Part. %2  "/>
      <w:lvlJc w:val="left"/>
      <w:pPr>
        <w:ind w:left="720" w:hanging="720"/>
      </w:pPr>
      <w:rPr>
        <w:rFonts w:ascii="Times New Roman" w:hAnsi="Times New Roman" w:hint="default"/>
        <w:b/>
        <w:i w:val="0"/>
        <w:sz w:val="20"/>
        <w:u w:val="none"/>
      </w:rPr>
    </w:lvl>
    <w:lvl w:ilvl="2">
      <w:start w:val="1"/>
      <w:numFmt w:val="lowerLetter"/>
      <w:pStyle w:val="Heading3"/>
      <w:lvlText w:val="(%3)"/>
      <w:lvlJc w:val="left"/>
      <w:pPr>
        <w:tabs>
          <w:tab w:val="num" w:pos="720"/>
        </w:tabs>
        <w:ind w:left="720" w:hanging="720"/>
      </w:pPr>
    </w:lvl>
    <w:lvl w:ilvl="3">
      <w:start w:val="1"/>
      <w:numFmt w:val="lowerRoman"/>
      <w:pStyle w:val="Heading4"/>
      <w:lvlText w:val="(%4)"/>
      <w:lvlJc w:val="left"/>
      <w:pPr>
        <w:tabs>
          <w:tab w:val="num" w:pos="1440"/>
        </w:tabs>
        <w:ind w:left="1440" w:hanging="720"/>
      </w:pPr>
    </w:lvl>
    <w:lvl w:ilvl="4">
      <w:start w:val="1"/>
      <w:numFmt w:val="upperLetter"/>
      <w:pStyle w:val="Heading5"/>
      <w:lvlText w:val="(%5)"/>
      <w:lvlJc w:val="left"/>
      <w:pPr>
        <w:tabs>
          <w:tab w:val="num" w:pos="2520"/>
        </w:tabs>
        <w:ind w:left="1440" w:firstLine="720"/>
      </w:pPr>
    </w:lvl>
    <w:lvl w:ilvl="5">
      <w:start w:val="1"/>
      <w:numFmt w:val="decimal"/>
      <w:pStyle w:val="Heading6"/>
      <w:lvlText w:val="(%6)"/>
      <w:lvlJc w:val="left"/>
      <w:pPr>
        <w:tabs>
          <w:tab w:val="num" w:pos="3240"/>
        </w:tabs>
        <w:ind w:left="2160" w:firstLine="720"/>
      </w:pPr>
    </w:lvl>
    <w:lvl w:ilvl="6">
      <w:start w:val="1"/>
      <w:numFmt w:val="lowerLetter"/>
      <w:pStyle w:val="Heading7"/>
      <w:lvlText w:val="%7."/>
      <w:lvlJc w:val="left"/>
      <w:pPr>
        <w:tabs>
          <w:tab w:val="num" w:pos="3960"/>
        </w:tabs>
        <w:ind w:left="2880" w:firstLine="720"/>
      </w:pPr>
    </w:lvl>
    <w:lvl w:ilvl="7">
      <w:start w:val="1"/>
      <w:numFmt w:val="lowerRoman"/>
      <w:pStyle w:val="Heading8"/>
      <w:lvlText w:val="%8."/>
      <w:lvlJc w:val="right"/>
      <w:pPr>
        <w:tabs>
          <w:tab w:val="num" w:pos="4939"/>
        </w:tabs>
        <w:ind w:left="3600" w:firstLine="979"/>
      </w:pPr>
    </w:lvl>
    <w:lvl w:ilvl="8">
      <w:start w:val="1"/>
      <w:numFmt w:val="upperLetter"/>
      <w:pStyle w:val="Heading9"/>
      <w:lvlText w:val="%9."/>
      <w:lvlJc w:val="left"/>
      <w:pPr>
        <w:tabs>
          <w:tab w:val="num" w:pos="5400"/>
        </w:tabs>
        <w:ind w:left="4320" w:firstLine="720"/>
      </w:pPr>
    </w:lvl>
  </w:abstractNum>
  <w:abstractNum w:abstractNumId="10">
    <w:nsid w:val="45865FD2"/>
    <w:multiLevelType w:val="singleLevel"/>
    <w:tmpl w:val="E7900972"/>
    <w:lvl w:ilvl="0">
      <w:start w:val="1"/>
      <w:numFmt w:val="bullet"/>
      <w:pStyle w:val="MBPBulletStar"/>
      <w:lvlText w:val=""/>
      <w:lvlJc w:val="left"/>
      <w:pPr>
        <w:tabs>
          <w:tab w:val="num" w:pos="720"/>
        </w:tabs>
        <w:ind w:left="720" w:hanging="720"/>
      </w:pPr>
      <w:rPr>
        <w:rFonts w:ascii="Wingdings" w:hAnsi="Wingdings" w:hint="default"/>
      </w:rPr>
    </w:lvl>
  </w:abstractNum>
  <w:abstractNum w:abstractNumId="11">
    <w:nsid w:val="47444189"/>
    <w:multiLevelType w:val="singleLevel"/>
    <w:tmpl w:val="E870C0E6"/>
    <w:lvl w:ilvl="0">
      <w:start w:val="1"/>
      <w:numFmt w:val="bullet"/>
      <w:pStyle w:val="MBPBulletDot"/>
      <w:lvlText w:val=""/>
      <w:lvlJc w:val="left"/>
      <w:pPr>
        <w:tabs>
          <w:tab w:val="num" w:pos="720"/>
        </w:tabs>
        <w:ind w:left="720" w:hanging="720"/>
      </w:pPr>
      <w:rPr>
        <w:rFonts w:ascii="Symbol" w:hAnsi="Symbol" w:hint="default"/>
      </w:rPr>
    </w:lvl>
  </w:abstractNum>
  <w:abstractNum w:abstractNumId="12">
    <w:nsid w:val="4B87427B"/>
    <w:multiLevelType w:val="hybridMultilevel"/>
    <w:tmpl w:val="BF26B94E"/>
    <w:lvl w:ilvl="0">
      <w:start w:val="2"/>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E907DC9"/>
    <w:multiLevelType w:val="multilevel"/>
    <w:tmpl w:val="DA626E04"/>
    <w:name w:val="zzmpNewStand||NewStand|3|3|1|1|0|0||1|0|0||1|0|4||1|0|1||3|0|0||1|0|0||1|0|0||1|0|0||1|0|0||"/>
    <w:lvl w:ilvl="0">
      <w:start w:val="1"/>
      <w:numFmt w:val="decimal"/>
      <w:pStyle w:val="NewStandL1"/>
      <w:lvlText w:val="%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NewStandL2"/>
      <w:lvlText w:val="____   (%2)"/>
      <w:lvlJc w:val="left"/>
      <w:pPr>
        <w:tabs>
          <w:tab w:val="num" w:pos="1440"/>
        </w:tabs>
        <w:ind w:left="1440" w:hanging="720"/>
      </w:pPr>
      <w:rPr>
        <w:rFonts w:ascii="Times New Roman" w:hAnsi="Times New Roman" w:cs="Times New Roman"/>
        <w:b w:val="0"/>
        <w:i w:val="0"/>
        <w:caps w:val="0"/>
        <w:sz w:val="24"/>
        <w:u w:val="none"/>
      </w:rPr>
    </w:lvl>
    <w:lvl w:ilvl="2">
      <w:start w:val="1"/>
      <w:numFmt w:val="none"/>
      <w:lvlRestart w:val="0"/>
      <w:pStyle w:val="NewStandL3"/>
      <w:lvlText w:val="_____"/>
      <w:lvlJc w:val="left"/>
      <w:pPr>
        <w:tabs>
          <w:tab w:val="num" w:pos="2160"/>
        </w:tabs>
        <w:ind w:left="2160" w:hanging="720"/>
      </w:pPr>
      <w:rPr>
        <w:rFonts w:ascii="Times New Roman" w:hAnsi="Times New Roman" w:cs="Times New Roman"/>
        <w:b w:val="0"/>
        <w:i w:val="0"/>
        <w:caps w:val="0"/>
        <w:sz w:val="24"/>
        <w:u w:val="none"/>
      </w:rPr>
    </w:lvl>
    <w:lvl w:ilvl="3">
      <w:start w:val="1"/>
      <w:numFmt w:val="decimal"/>
      <w:pStyle w:val="NewStandL4"/>
      <w:lvlText w:val="(%4)"/>
      <w:lvlJc w:val="left"/>
      <w:pPr>
        <w:tabs>
          <w:tab w:val="num" w:pos="2880"/>
        </w:tabs>
        <w:ind w:left="0" w:firstLine="2160"/>
      </w:pPr>
      <w:rPr>
        <w:rFonts w:ascii="Times New Roman" w:hAnsi="Times New Roman" w:cs="Times New Roman"/>
        <w:b w:val="0"/>
        <w:i w:val="0"/>
        <w:caps w:val="0"/>
        <w:sz w:val="24"/>
        <w:u w:val="none"/>
      </w:rPr>
    </w:lvl>
    <w:lvl w:ilvl="4">
      <w:start w:val="1"/>
      <w:numFmt w:val="lowerLetter"/>
      <w:pStyle w:val="NewStandL5"/>
      <w:suff w:val="nothing"/>
      <w:lvlText w:val="(%5)"/>
      <w:lvlJc w:val="left"/>
      <w:pPr>
        <w:tabs>
          <w:tab w:val="num" w:pos="1440"/>
        </w:tabs>
        <w:ind w:left="720" w:firstLine="0"/>
      </w:pPr>
      <w:rPr>
        <w:rFonts w:ascii="Times New Roman" w:hAnsi="Times New Roman" w:cs="Times New Roman"/>
        <w:b w:val="0"/>
        <w:i w:val="0"/>
        <w:caps w:val="0"/>
        <w:sz w:val="24"/>
        <w:u w:val="none"/>
      </w:rPr>
    </w:lvl>
    <w:lvl w:ilvl="5">
      <w:start w:val="1"/>
      <w:numFmt w:val="lowerRoman"/>
      <w:pStyle w:val="NewStan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NewStan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NewStan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NewStan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14">
    <w:nsid w:val="75A6390F"/>
    <w:multiLevelType w:val="multilevel"/>
    <w:tmpl w:val="F24C01F4"/>
    <w:name w:val="zzmpLegal2||Legal2|2|3|1|5|2|8||1|2|4||1|2|0||1|2|0||1|2|0||1|2|0||1|2|0||1|4|0||1|4|0||"/>
    <w:lvl w:ilvl="0">
      <w:start w:val="1"/>
      <w:numFmt w:val="upperRoman"/>
      <w:pStyle w:val="Legal2L1"/>
      <w:suff w:val="nothing"/>
      <w:lvlText w:val="ARTICLE %1"/>
      <w:lvlJc w:val="left"/>
      <w:pPr>
        <w:ind w:left="0" w:firstLine="0"/>
      </w:pPr>
      <w:rPr>
        <w:b/>
        <w:i w:val="0"/>
        <w:caps/>
        <w:smallCaps w:val="0"/>
        <w:strike w:val="0"/>
        <w:dstrike w:val="0"/>
        <w:u w:val="none"/>
        <w:effect w:val="none"/>
      </w:rPr>
    </w:lvl>
    <w:lvl w:ilvl="1">
      <w:start w:val="1"/>
      <w:numFmt w:val="decimalZero"/>
      <w:pStyle w:val="Legal2L2"/>
      <w:isLgl/>
      <w:lvlText w:val="SECTION %1.%2"/>
      <w:lvlJc w:val="left"/>
      <w:pPr>
        <w:tabs>
          <w:tab w:val="num" w:pos="2592"/>
        </w:tabs>
        <w:ind w:left="0" w:firstLine="720"/>
      </w:pPr>
      <w:rPr>
        <w:rFonts w:ascii="Times New Roman" w:hAnsi="Times New Roman" w:cs="Times New Roman" w:hint="default"/>
        <w:b/>
        <w:i w:val="0"/>
        <w:caps w:val="0"/>
        <w:strike w:val="0"/>
        <w:dstrike w:val="0"/>
        <w:color w:val="auto"/>
        <w:u w:val="none"/>
        <w:effect w:val="none"/>
      </w:rPr>
    </w:lvl>
    <w:lvl w:ilvl="2">
      <w:start w:val="1"/>
      <w:numFmt w:val="lowerLetter"/>
      <w:pStyle w:val="Legal2L3"/>
      <w:lvlText w:val="(%3)"/>
      <w:lvlJc w:val="left"/>
      <w:pPr>
        <w:tabs>
          <w:tab w:val="num" w:pos="1440"/>
        </w:tabs>
        <w:ind w:left="0" w:firstLine="720"/>
      </w:pPr>
      <w:rPr>
        <w:b w:val="0"/>
        <w:i w:val="0"/>
        <w:caps w:val="0"/>
        <w:strike w:val="0"/>
        <w:dstrike w:val="0"/>
        <w:u w:val="none"/>
        <w:effect w:val="none"/>
      </w:rPr>
    </w:lvl>
    <w:lvl w:ilvl="3">
      <w:start w:val="1"/>
      <w:numFmt w:val="lowerRoman"/>
      <w:pStyle w:val="Legal2L4"/>
      <w:lvlText w:val="(%4)"/>
      <w:lvlJc w:val="left"/>
      <w:pPr>
        <w:tabs>
          <w:tab w:val="num" w:pos="2160"/>
        </w:tabs>
        <w:ind w:left="720" w:firstLine="720"/>
      </w:pPr>
      <w:rPr>
        <w:b w:val="0"/>
        <w:i w:val="0"/>
        <w:caps w:val="0"/>
        <w:strike w:val="0"/>
        <w:dstrike w:val="0"/>
        <w:u w:val="none"/>
        <w:effect w:val="none"/>
      </w:rPr>
    </w:lvl>
    <w:lvl w:ilvl="4">
      <w:start w:val="1"/>
      <w:numFmt w:val="upperLetter"/>
      <w:pStyle w:val="Legal2L5"/>
      <w:lvlText w:val="(%5)"/>
      <w:lvlJc w:val="left"/>
      <w:pPr>
        <w:tabs>
          <w:tab w:val="num" w:pos="2160"/>
        </w:tabs>
        <w:ind w:left="720" w:firstLine="720"/>
      </w:pPr>
      <w:rPr>
        <w:b w:val="0"/>
        <w:i w:val="0"/>
        <w:caps w:val="0"/>
        <w:strike w:val="0"/>
        <w:dstrike w:val="0"/>
        <w:u w:val="none"/>
        <w:effect w:val="none"/>
      </w:rPr>
    </w:lvl>
    <w:lvl w:ilvl="5">
      <w:start w:val="1"/>
      <w:numFmt w:val="decimal"/>
      <w:pStyle w:val="Legal2L6"/>
      <w:lvlText w:val="(%6)"/>
      <w:lvlJc w:val="left"/>
      <w:pPr>
        <w:tabs>
          <w:tab w:val="num" w:pos="2880"/>
        </w:tabs>
        <w:ind w:left="720" w:firstLine="1440"/>
      </w:pPr>
      <w:rPr>
        <w:rFonts w:ascii="Times New Roman" w:hAnsi="Times New Roman" w:cs="Times New Roman" w:hint="default"/>
        <w:b w:val="0"/>
        <w:i w:val="0"/>
        <w:caps w:val="0"/>
        <w:strike w:val="0"/>
        <w:dstrike w:val="0"/>
        <w:sz w:val="24"/>
        <w:u w:val="none"/>
        <w:effect w:val="none"/>
      </w:rPr>
    </w:lvl>
    <w:lvl w:ilvl="6">
      <w:start w:val="1"/>
      <w:numFmt w:val="decimal"/>
      <w:pStyle w:val="Legal2L7"/>
      <w:lvlText w:val="(%7)"/>
      <w:lvlJc w:val="left"/>
      <w:pPr>
        <w:tabs>
          <w:tab w:val="num" w:pos="2160"/>
        </w:tabs>
        <w:ind w:left="720" w:firstLine="720"/>
      </w:pPr>
      <w:rPr>
        <w:b w:val="0"/>
        <w:i w:val="0"/>
        <w:caps w:val="0"/>
        <w:strike w:val="0"/>
        <w:dstrike w:val="0"/>
        <w:u w:val="none"/>
        <w:effect w:val="none"/>
      </w:rPr>
    </w:lvl>
    <w:lvl w:ilvl="7">
      <w:start w:val="1"/>
      <w:numFmt w:val="lowerLetter"/>
      <w:pStyle w:val="Legal2L8"/>
      <w:lvlText w:val="%8)"/>
      <w:lvlJc w:val="left"/>
      <w:pPr>
        <w:tabs>
          <w:tab w:val="num" w:pos="5760"/>
        </w:tabs>
        <w:ind w:left="0" w:firstLine="5040"/>
      </w:pPr>
      <w:rPr>
        <w:b w:val="0"/>
        <w:i w:val="0"/>
        <w:caps w:val="0"/>
        <w:strike w:val="0"/>
        <w:dstrike w:val="0"/>
        <w:color w:val="auto"/>
        <w:u w:val="none"/>
        <w:effect w:val="none"/>
      </w:rPr>
    </w:lvl>
    <w:lvl w:ilvl="8">
      <w:start w:val="1"/>
      <w:numFmt w:val="lowerRoman"/>
      <w:pStyle w:val="Legal2L9"/>
      <w:lvlText w:val="%9)"/>
      <w:lvlJc w:val="left"/>
      <w:pPr>
        <w:tabs>
          <w:tab w:val="num" w:pos="6480"/>
        </w:tabs>
        <w:ind w:left="0" w:firstLine="5760"/>
      </w:pPr>
      <w:rPr>
        <w:b w:val="0"/>
        <w:i w:val="0"/>
        <w:caps w:val="0"/>
        <w:strike w:val="0"/>
        <w:dstrike w:val="0"/>
        <w:color w:val="auto"/>
        <w:u w:val="none"/>
        <w:effect w:val="none"/>
      </w:rPr>
    </w:lvl>
  </w:abstractNum>
  <w:abstractNum w:abstractNumId="15">
    <w:nsid w:val="78FF2FEF"/>
    <w:multiLevelType w:val="singleLevel"/>
    <w:tmpl w:val="3F5AF0FE"/>
    <w:lvl w:ilvl="0">
      <w:start w:val="3"/>
      <w:numFmt w:val="decimal"/>
      <w:lvlText w:val="%1. "/>
      <w:legacy w:legacy="1" w:legacySpace="0" w:legacyIndent="360"/>
      <w:lvlJc w:val="left"/>
      <w:pPr>
        <w:ind w:left="360" w:hanging="360"/>
      </w:pPr>
      <w:rPr>
        <w:rFonts w:ascii="Arial" w:hAnsi="Arial" w:hint="default"/>
        <w:b/>
        <w:i w:val="0"/>
        <w:sz w:val="20"/>
        <w:u w:val="none"/>
      </w:rPr>
    </w:lvl>
  </w:abstractNum>
  <w:abstractNum w:abstractNumId="16">
    <w:nsid w:val="7922673C"/>
    <w:multiLevelType w:val="singleLevel"/>
    <w:tmpl w:val="537C23E0"/>
    <w:lvl w:ilvl="0">
      <w:start w:val="1"/>
      <w:numFmt w:val="lowerRoman"/>
      <w:lvlText w:val="(%1)"/>
      <w:lvlJc w:val="left"/>
      <w:pPr>
        <w:tabs>
          <w:tab w:val="num" w:pos="720"/>
        </w:tabs>
        <w:ind w:left="720" w:hanging="720"/>
      </w:pPr>
      <w:rPr>
        <w:rFonts w:hint="default"/>
        <w:b/>
      </w:rPr>
    </w:lvl>
  </w:abstractNum>
  <w:num w:numId="1">
    <w:abstractNumId w:val="11"/>
  </w:num>
  <w:num w:numId="2">
    <w:abstractNumId w:val="7"/>
  </w:num>
  <w:num w:numId="3">
    <w:abstractNumId w:val="10"/>
  </w:num>
  <w:num w:numId="4">
    <w:abstractNumId w:val="2"/>
  </w:num>
  <w:num w:numId="5">
    <w:abstractNumId w:val="1"/>
  </w:num>
  <w:num w:numId="6">
    <w:abstractNumId w:val="0"/>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
  </w:num>
  <w:num w:numId="13">
    <w:abstractNumId w:val="5"/>
  </w:num>
  <w:num w:numId="14">
    <w:abstractNumId w:val="16"/>
  </w:num>
  <w:num w:numId="15">
    <w:abstractNumId w:val="9"/>
  </w:num>
  <w:num w:numId="16">
    <w:abstractNumId w:val="1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6"/>
  </w:num>
  <w:num w:numId="21">
    <w:abstractNumId w:val="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5:docId w15:val="{B7155AE8-E67A-46AA-A6BF-7D285151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
    <w:basedOn w:val="Normal"/>
    <w:qFormat/>
    <w:pPr>
      <w:keepNext/>
      <w:numPr>
        <w:ilvl w:val="1"/>
        <w:numId w:val="15"/>
      </w:numPr>
      <w:spacing w:before="240"/>
      <w:jc w:val="both"/>
      <w:outlineLvl w:val="1"/>
    </w:pPr>
    <w:rPr>
      <w:b/>
      <w:sz w:val="20"/>
      <w:szCs w:val="20"/>
    </w:rPr>
  </w:style>
  <w:style w:type="paragraph" w:styleId="Heading3">
    <w:name w:val="heading 3"/>
    <w:aliases w:val="H3"/>
    <w:basedOn w:val="Normal"/>
    <w:qFormat/>
    <w:pPr>
      <w:numPr>
        <w:ilvl w:val="2"/>
        <w:numId w:val="15"/>
      </w:numPr>
      <w:spacing w:before="240"/>
      <w:jc w:val="both"/>
      <w:outlineLvl w:val="2"/>
    </w:pPr>
    <w:rPr>
      <w:sz w:val="20"/>
      <w:szCs w:val="20"/>
    </w:rPr>
  </w:style>
  <w:style w:type="paragraph" w:styleId="Heading4">
    <w:name w:val="heading 4"/>
    <w:aliases w:val="H4"/>
    <w:basedOn w:val="Normal"/>
    <w:qFormat/>
    <w:pPr>
      <w:numPr>
        <w:ilvl w:val="3"/>
        <w:numId w:val="15"/>
      </w:numPr>
      <w:tabs>
        <w:tab w:val="clear" w:pos="1440"/>
      </w:tabs>
      <w:spacing w:before="240"/>
      <w:jc w:val="both"/>
      <w:outlineLvl w:val="3"/>
    </w:pPr>
    <w:rPr>
      <w:sz w:val="20"/>
      <w:szCs w:val="20"/>
    </w:rPr>
  </w:style>
  <w:style w:type="paragraph" w:styleId="Heading5">
    <w:name w:val="heading 5"/>
    <w:aliases w:val="H5"/>
    <w:basedOn w:val="Normal"/>
    <w:qFormat/>
    <w:pPr>
      <w:numPr>
        <w:ilvl w:val="4"/>
        <w:numId w:val="15"/>
      </w:numPr>
      <w:spacing w:before="240"/>
      <w:jc w:val="both"/>
      <w:outlineLvl w:val="4"/>
    </w:pPr>
    <w:rPr>
      <w:sz w:val="20"/>
      <w:szCs w:val="20"/>
    </w:rPr>
  </w:style>
  <w:style w:type="paragraph" w:styleId="Heading6">
    <w:name w:val="heading 6"/>
    <w:aliases w:val="H6"/>
    <w:basedOn w:val="Normal"/>
    <w:link w:val="Heading6Char"/>
    <w:qFormat/>
    <w:pPr>
      <w:numPr>
        <w:ilvl w:val="5"/>
        <w:numId w:val="15"/>
      </w:numPr>
      <w:spacing w:before="240"/>
      <w:jc w:val="both"/>
      <w:outlineLvl w:val="5"/>
    </w:pPr>
    <w:rPr>
      <w:sz w:val="20"/>
      <w:szCs w:val="20"/>
    </w:rPr>
  </w:style>
  <w:style w:type="paragraph" w:styleId="Heading7">
    <w:name w:val="heading 7"/>
    <w:aliases w:val="H7"/>
    <w:basedOn w:val="Normal"/>
    <w:qFormat/>
    <w:pPr>
      <w:numPr>
        <w:ilvl w:val="6"/>
        <w:numId w:val="15"/>
      </w:numPr>
      <w:spacing w:before="240"/>
      <w:jc w:val="both"/>
      <w:outlineLvl w:val="6"/>
    </w:pPr>
    <w:rPr>
      <w:sz w:val="20"/>
      <w:szCs w:val="20"/>
    </w:rPr>
  </w:style>
  <w:style w:type="paragraph" w:styleId="Heading8">
    <w:name w:val="heading 8"/>
    <w:aliases w:val="H8"/>
    <w:basedOn w:val="Normal"/>
    <w:qFormat/>
    <w:pPr>
      <w:numPr>
        <w:ilvl w:val="7"/>
        <w:numId w:val="15"/>
      </w:numPr>
      <w:spacing w:before="240"/>
      <w:jc w:val="both"/>
      <w:outlineLvl w:val="7"/>
    </w:pPr>
    <w:rPr>
      <w:sz w:val="20"/>
      <w:szCs w:val="20"/>
    </w:rPr>
  </w:style>
  <w:style w:type="paragraph" w:styleId="Heading9">
    <w:name w:val="heading 9"/>
    <w:aliases w:val="H9"/>
    <w:basedOn w:val="Normal"/>
    <w:qFormat/>
    <w:pPr>
      <w:numPr>
        <w:ilvl w:val="8"/>
        <w:numId w:val="15"/>
      </w:numPr>
      <w:spacing w:before="24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rPr>
      <w:szCs w:val="20"/>
    </w:rPr>
  </w:style>
  <w:style w:type="paragraph" w:styleId="Header">
    <w:name w:val="header"/>
    <w:basedOn w:val="Normal"/>
    <w:link w:val="HeaderChar"/>
    <w:pPr>
      <w:tabs>
        <w:tab w:val="center" w:pos="4680"/>
        <w:tab w:val="right" w:pos="9360"/>
      </w:tabs>
    </w:pPr>
  </w:style>
  <w:style w:type="paragraph" w:customStyle="1" w:styleId="MBPBdDblSp5J">
    <w:name w:val="MBP_Bd Dbl Sp .5 J"/>
    <w:aliases w:val="d4"/>
    <w:basedOn w:val="Normal"/>
    <w:pPr>
      <w:spacing w:line="480" w:lineRule="auto"/>
      <w:ind w:firstLine="720"/>
      <w:jc w:val="both"/>
    </w:pPr>
    <w:rPr>
      <w:szCs w:val="20"/>
    </w:rPr>
  </w:style>
  <w:style w:type="paragraph" w:customStyle="1" w:styleId="MBPBdDblSp5L">
    <w:name w:val="MBP_Bd Dbl Sp .5 L"/>
    <w:aliases w:val="d2"/>
    <w:basedOn w:val="Normal"/>
    <w:pPr>
      <w:spacing w:line="480" w:lineRule="auto"/>
      <w:ind w:firstLine="720"/>
    </w:pPr>
    <w:rPr>
      <w:szCs w:val="20"/>
    </w:rPr>
  </w:style>
  <w:style w:type="paragraph" w:customStyle="1" w:styleId="MBPBdDblSpJ">
    <w:name w:val="MBP_Bd Dbl Sp J"/>
    <w:aliases w:val="d3"/>
    <w:basedOn w:val="Normal"/>
    <w:pPr>
      <w:spacing w:line="480" w:lineRule="auto"/>
      <w:jc w:val="both"/>
    </w:pPr>
    <w:rPr>
      <w:szCs w:val="20"/>
    </w:rPr>
  </w:style>
  <w:style w:type="paragraph" w:customStyle="1" w:styleId="MBPBdDblSpL">
    <w:name w:val="MBP_Bd Dbl Sp L"/>
    <w:aliases w:val="d1"/>
    <w:basedOn w:val="Normal"/>
    <w:pPr>
      <w:spacing w:line="480" w:lineRule="auto"/>
    </w:pPr>
    <w:rPr>
      <w:szCs w:val="20"/>
    </w:rPr>
  </w:style>
  <w:style w:type="paragraph" w:customStyle="1" w:styleId="MBPBdQuote11J">
    <w:name w:val="MBP_Bd Quote 1/1 J"/>
    <w:aliases w:val="q1"/>
    <w:basedOn w:val="Normal"/>
    <w:pPr>
      <w:spacing w:after="240"/>
      <w:ind w:left="1440" w:right="1440"/>
      <w:jc w:val="both"/>
    </w:pPr>
    <w:rPr>
      <w:szCs w:val="20"/>
    </w:rPr>
  </w:style>
  <w:style w:type="paragraph" w:customStyle="1" w:styleId="MBPBdQuote11L">
    <w:name w:val="MBP_Bd Quote 1/1 L"/>
    <w:aliases w:val="q2"/>
    <w:basedOn w:val="Normal"/>
    <w:pPr>
      <w:spacing w:after="240"/>
      <w:ind w:left="1440" w:right="1440"/>
    </w:pPr>
    <w:rPr>
      <w:szCs w:val="20"/>
    </w:rPr>
  </w:style>
  <w:style w:type="paragraph" w:customStyle="1" w:styleId="MBPBdSingleSp5J">
    <w:name w:val="MBP_Bd Single Sp .5 J"/>
    <w:aliases w:val="s4"/>
    <w:basedOn w:val="Normal"/>
    <w:pPr>
      <w:spacing w:after="240"/>
      <w:ind w:firstLine="720"/>
      <w:jc w:val="both"/>
    </w:pPr>
    <w:rPr>
      <w:szCs w:val="20"/>
    </w:rPr>
  </w:style>
  <w:style w:type="paragraph" w:customStyle="1" w:styleId="MBPBdSingleSp5L">
    <w:name w:val="MBP_Bd Single Sp .5 L"/>
    <w:aliases w:val="s2"/>
    <w:basedOn w:val="Normal"/>
    <w:pPr>
      <w:spacing w:after="240"/>
      <w:ind w:firstLine="720"/>
    </w:pPr>
    <w:rPr>
      <w:szCs w:val="20"/>
    </w:rPr>
  </w:style>
  <w:style w:type="paragraph" w:customStyle="1" w:styleId="MBPBdSingleSpJ">
    <w:name w:val="MBP_Bd Single Sp J"/>
    <w:aliases w:val="s3"/>
    <w:basedOn w:val="Normal"/>
    <w:pPr>
      <w:spacing w:after="240"/>
      <w:jc w:val="both"/>
    </w:pPr>
    <w:rPr>
      <w:szCs w:val="20"/>
    </w:rPr>
  </w:style>
  <w:style w:type="paragraph" w:customStyle="1" w:styleId="MBPBdSingleSpL">
    <w:name w:val="MBP_Bd Single Sp L"/>
    <w:aliases w:val="s1"/>
    <w:basedOn w:val="Normal"/>
    <w:pPr>
      <w:spacing w:after="240"/>
    </w:pPr>
    <w:rPr>
      <w:szCs w:val="20"/>
    </w:rPr>
  </w:style>
  <w:style w:type="paragraph" w:customStyle="1" w:styleId="MBPBulletDot">
    <w:name w:val="MBP_Bullet Dot"/>
    <w:aliases w:val="b1"/>
    <w:basedOn w:val="Normal"/>
    <w:pPr>
      <w:numPr>
        <w:numId w:val="1"/>
      </w:numPr>
      <w:tabs>
        <w:tab w:val="clear" w:pos="720"/>
      </w:tabs>
      <w:spacing w:after="240"/>
    </w:pPr>
    <w:rPr>
      <w:szCs w:val="20"/>
    </w:rPr>
  </w:style>
  <w:style w:type="paragraph" w:customStyle="1" w:styleId="MBPBulletSquare">
    <w:name w:val="MBP_Bullet Square"/>
    <w:aliases w:val="b2"/>
    <w:basedOn w:val="Normal"/>
    <w:pPr>
      <w:numPr>
        <w:numId w:val="2"/>
      </w:numPr>
      <w:tabs>
        <w:tab w:val="clear" w:pos="720"/>
      </w:tabs>
      <w:spacing w:after="240"/>
    </w:pPr>
    <w:rPr>
      <w:szCs w:val="20"/>
    </w:rPr>
  </w:style>
  <w:style w:type="paragraph" w:customStyle="1" w:styleId="MBPBulletStar">
    <w:name w:val="MBP_Bullet Star"/>
    <w:aliases w:val="b3"/>
    <w:basedOn w:val="Normal"/>
    <w:pPr>
      <w:numPr>
        <w:numId w:val="3"/>
      </w:numPr>
      <w:tabs>
        <w:tab w:val="clear" w:pos="720"/>
      </w:tabs>
      <w:spacing w:after="240"/>
    </w:pPr>
    <w:rPr>
      <w:szCs w:val="20"/>
    </w:rPr>
  </w:style>
  <w:style w:type="paragraph" w:customStyle="1" w:styleId="MBPDocID">
    <w:name w:val="MBP_DocID"/>
    <w:basedOn w:val="Normal"/>
    <w:rPr>
      <w:sz w:val="16"/>
      <w:szCs w:val="20"/>
    </w:rPr>
  </w:style>
  <w:style w:type="paragraph" w:customStyle="1" w:styleId="MBPReLine">
    <w:name w:val="MBP_ReLine"/>
    <w:aliases w:val="r1"/>
    <w:basedOn w:val="Normal"/>
    <w:pPr>
      <w:suppressAutoHyphens/>
      <w:spacing w:after="240"/>
      <w:ind w:left="1440" w:hanging="720"/>
    </w:pPr>
    <w:rPr>
      <w:szCs w:val="20"/>
    </w:rPr>
  </w:style>
  <w:style w:type="paragraph" w:customStyle="1" w:styleId="MBPSal">
    <w:name w:val="MBP_Sal"/>
    <w:aliases w:val="sal1"/>
    <w:basedOn w:val="Normal"/>
    <w:pPr>
      <w:suppressAutoHyphens/>
      <w:spacing w:before="240" w:after="240"/>
    </w:pPr>
    <w:rPr>
      <w:szCs w:val="20"/>
    </w:rPr>
  </w:style>
  <w:style w:type="paragraph" w:customStyle="1" w:styleId="MBPSigTxt">
    <w:name w:val="MBP_SigTxt"/>
    <w:aliases w:val="sig1"/>
    <w:basedOn w:val="Normal"/>
    <w:pPr>
      <w:keepNext/>
      <w:tabs>
        <w:tab w:val="right" w:pos="9216"/>
      </w:tabs>
      <w:suppressAutoHyphens/>
      <w:ind w:left="4320"/>
    </w:pPr>
    <w:rPr>
      <w:szCs w:val="20"/>
    </w:rPr>
  </w:style>
  <w:style w:type="paragraph" w:customStyle="1" w:styleId="MBPTableBullet">
    <w:name w:val="MBP_Table Bullet"/>
    <w:aliases w:val="a2"/>
    <w:basedOn w:val="Normal"/>
    <w:pPr>
      <w:numPr>
        <w:numId w:val="4"/>
      </w:numPr>
      <w:tabs>
        <w:tab w:val="clear" w:pos="720"/>
      </w:tabs>
      <w:spacing w:before="60" w:after="60"/>
    </w:pPr>
    <w:rPr>
      <w:szCs w:val="20"/>
    </w:rPr>
  </w:style>
  <w:style w:type="paragraph" w:customStyle="1" w:styleId="MBPTable">
    <w:name w:val="MBP_Table"/>
    <w:aliases w:val="a1"/>
    <w:basedOn w:val="Normal"/>
    <w:pPr>
      <w:spacing w:before="60" w:after="60"/>
    </w:pPr>
    <w:rPr>
      <w:szCs w:val="20"/>
    </w:rPr>
  </w:style>
  <w:style w:type="paragraph" w:customStyle="1" w:styleId="MBPTitleBC">
    <w:name w:val="MBP_Title BC"/>
    <w:aliases w:val="t6"/>
    <w:basedOn w:val="Normal"/>
    <w:pPr>
      <w:keepNext/>
      <w:spacing w:after="240"/>
      <w:jc w:val="center"/>
    </w:pPr>
    <w:rPr>
      <w:b/>
      <w:szCs w:val="20"/>
    </w:rPr>
  </w:style>
  <w:style w:type="paragraph" w:customStyle="1" w:styleId="MBPTitleBL">
    <w:name w:val="MBP_Title BL"/>
    <w:aliases w:val="t7"/>
    <w:basedOn w:val="Normal"/>
    <w:pPr>
      <w:keepNext/>
      <w:spacing w:after="240"/>
    </w:pPr>
    <w:rPr>
      <w:b/>
      <w:szCs w:val="20"/>
    </w:rPr>
  </w:style>
  <w:style w:type="paragraph" w:customStyle="1" w:styleId="MBPTitleBUAC">
    <w:name w:val="MBP_Title BUAC"/>
    <w:aliases w:val="t8"/>
    <w:basedOn w:val="Normal"/>
    <w:pPr>
      <w:keepNext/>
      <w:spacing w:after="240"/>
      <w:jc w:val="center"/>
    </w:pPr>
    <w:rPr>
      <w:b/>
      <w:caps/>
      <w:szCs w:val="20"/>
      <w:u w:val="single"/>
    </w:rPr>
  </w:style>
  <w:style w:type="paragraph" w:customStyle="1" w:styleId="MBPTitleBUC">
    <w:name w:val="MBP_Title BUC"/>
    <w:aliases w:val="t9"/>
    <w:basedOn w:val="Normal"/>
    <w:pPr>
      <w:keepNext/>
      <w:spacing w:after="240"/>
      <w:jc w:val="center"/>
    </w:pPr>
    <w:rPr>
      <w:b/>
      <w:szCs w:val="20"/>
      <w:u w:val="single"/>
    </w:rPr>
  </w:style>
  <w:style w:type="character" w:customStyle="1" w:styleId="MBPCBoldItalics">
    <w:name w:val="MBPC_Bold Italics"/>
    <w:aliases w:val="c4"/>
    <w:rPr>
      <w:b/>
      <w:i/>
    </w:rPr>
  </w:style>
  <w:style w:type="character" w:customStyle="1" w:styleId="MBPCBoldUnderlineItalics">
    <w:name w:val="MBPC_Bold Underline Italics"/>
    <w:aliases w:val="c6"/>
    <w:rPr>
      <w:b/>
      <w:i/>
      <w:u w:val="single"/>
    </w:rPr>
  </w:style>
  <w:style w:type="character" w:customStyle="1" w:styleId="MBPCBoldUnderline">
    <w:name w:val="MBPC_Bold Underline"/>
    <w:aliases w:val="c5"/>
    <w:rPr>
      <w:b/>
      <w:u w:val="single"/>
    </w:rPr>
  </w:style>
  <w:style w:type="character" w:customStyle="1" w:styleId="MBPCBold">
    <w:name w:val="MBPC_Bold"/>
    <w:aliases w:val="c1"/>
    <w:rPr>
      <w:b/>
    </w:rPr>
  </w:style>
  <w:style w:type="character" w:customStyle="1" w:styleId="MBPCItalicsUnderline">
    <w:name w:val="MBPC_Italics Underline"/>
    <w:aliases w:val="c7"/>
    <w:rPr>
      <w:i/>
      <w:u w:val="single"/>
    </w:rPr>
  </w:style>
  <w:style w:type="character" w:customStyle="1" w:styleId="MBPCItalics">
    <w:name w:val="MBPC_Italics"/>
    <w:aliases w:val="c2"/>
    <w:rPr>
      <w:i/>
    </w:rPr>
  </w:style>
  <w:style w:type="character" w:customStyle="1" w:styleId="MBPCUnderline">
    <w:name w:val="MBPC_Underline"/>
    <w:aliases w:val="c3"/>
    <w:rPr>
      <w:u w:val="single"/>
    </w:rPr>
  </w:style>
  <w:style w:type="paragraph" w:styleId="FootnoteText">
    <w:name w:val="footnote text"/>
    <w:basedOn w:val="Normal"/>
    <w:link w:val="FootnoteTextChar"/>
    <w:rPr>
      <w:sz w:val="20"/>
      <w:szCs w:val="20"/>
    </w:rPr>
  </w:style>
  <w:style w:type="character" w:styleId="FootnoteReference">
    <w:name w:val="footnote reference"/>
    <w:basedOn w:val="DefaultParagraphFont"/>
    <w:semiHidden/>
    <w:rPr>
      <w:vertAlign w:val="superscript"/>
    </w:rPr>
  </w:style>
  <w:style w:type="paragraph" w:styleId="BlockText">
    <w:name w:val="Block Text"/>
    <w:aliases w:val="bk"/>
    <w:basedOn w:val="Normal"/>
    <w:pPr>
      <w:tabs>
        <w:tab w:val="left" w:pos="2160"/>
      </w:tabs>
      <w:ind w:left="2880" w:right="1440" w:hanging="1440"/>
    </w:pPr>
  </w:style>
  <w:style w:type="paragraph" w:styleId="BodyText">
    <w:name w:val="Body Text"/>
    <w:basedOn w:val="Normal"/>
    <w:link w:val="BodyTextChar"/>
    <w:pPr>
      <w:spacing w:after="240"/>
    </w:pPr>
  </w:style>
  <w:style w:type="paragraph" w:styleId="BodyTextFirstIndent">
    <w:name w:val="Body Text First Indent"/>
    <w:aliases w:val="f1"/>
    <w:basedOn w:val="Normal"/>
    <w:link w:val="BodyTextFirstIndentChar"/>
    <w:pPr>
      <w:spacing w:after="240"/>
      <w:ind w:firstLine="720"/>
    </w:pPr>
  </w:style>
  <w:style w:type="paragraph" w:styleId="BodyTextIndent2">
    <w:name w:val="Body Text Indent 2"/>
    <w:aliases w:val="i2"/>
    <w:basedOn w:val="Normal"/>
    <w:link w:val="BodyTextIndent2Char"/>
    <w:pPr>
      <w:spacing w:line="480" w:lineRule="auto"/>
      <w:ind w:left="720"/>
    </w:pPr>
  </w:style>
  <w:style w:type="paragraph" w:styleId="Signature">
    <w:name w:val="Signature"/>
    <w:basedOn w:val="Normal"/>
    <w:link w:val="SignatureChar"/>
    <w:pPr>
      <w:spacing w:after="240"/>
    </w:pPr>
    <w:rPr>
      <w:szCs w:val="20"/>
    </w:rPr>
  </w:style>
  <w:style w:type="paragraph" w:styleId="Title">
    <w:name w:val="Title"/>
    <w:aliases w:val="t1"/>
    <w:basedOn w:val="Normal"/>
    <w:next w:val="Normal"/>
    <w:link w:val="TitleChar"/>
    <w:qFormat/>
    <w:pPr>
      <w:spacing w:after="240"/>
      <w:jc w:val="center"/>
    </w:pPr>
    <w:rPr>
      <w:b/>
    </w:rPr>
  </w:style>
  <w:style w:type="paragraph" w:customStyle="1" w:styleId="BdTxTb12af">
    <w:name w:val="Bd Tx Tb 12 af"/>
    <w:aliases w:val="b12"/>
    <w:basedOn w:val="Normal"/>
    <w:pPr>
      <w:tabs>
        <w:tab w:val="left" w:pos="4752"/>
      </w:tabs>
      <w:spacing w:after="240"/>
      <w:ind w:left="4752" w:hanging="4752"/>
    </w:pPr>
  </w:style>
  <w:style w:type="paragraph" w:customStyle="1" w:styleId="Sig2">
    <w:name w:val="Sig 2"/>
    <w:basedOn w:val="Normal"/>
    <w:pPr>
      <w:tabs>
        <w:tab w:val="left" w:pos="4833"/>
      </w:tabs>
      <w:spacing w:after="480"/>
      <w:ind w:left="4867" w:hanging="547"/>
    </w:pPr>
  </w:style>
  <w:style w:type="paragraph" w:customStyle="1" w:styleId="BdTxTb0af">
    <w:name w:val="Bd Tx Tb 0 af"/>
    <w:aliases w:val="b0"/>
    <w:basedOn w:val="Normal"/>
    <w:pPr>
      <w:tabs>
        <w:tab w:val="left" w:pos="4752"/>
      </w:tabs>
      <w:ind w:left="4752" w:hanging="4752"/>
    </w:pPr>
  </w:style>
  <w:style w:type="paragraph" w:styleId="Date">
    <w:name w:val="Date"/>
    <w:basedOn w:val="Normal"/>
    <w:next w:val="Normal"/>
    <w:pPr>
      <w:spacing w:after="240"/>
      <w:ind w:left="5760"/>
    </w:pPr>
  </w:style>
  <w:style w:type="paragraph" w:customStyle="1" w:styleId="LMSubjectRe">
    <w:name w:val="LM_Subject Re"/>
    <w:basedOn w:val="Normal"/>
    <w:pPr>
      <w:spacing w:before="240" w:after="240"/>
      <w:ind w:left="720"/>
    </w:pPr>
  </w:style>
  <w:style w:type="character" w:styleId="PageNumber">
    <w:name w:val="page number"/>
    <w:basedOn w:val="DefaultParagraphFont"/>
  </w:style>
  <w:style w:type="paragraph" w:customStyle="1" w:styleId="NewStandL1">
    <w:name w:val="NewStand_L1"/>
    <w:basedOn w:val="Normal"/>
    <w:next w:val="BodyText"/>
    <w:pPr>
      <w:numPr>
        <w:numId w:val="7"/>
      </w:numPr>
      <w:spacing w:after="240"/>
      <w:outlineLvl w:val="0"/>
    </w:pPr>
    <w:rPr>
      <w:szCs w:val="20"/>
    </w:rPr>
  </w:style>
  <w:style w:type="paragraph" w:customStyle="1" w:styleId="NewStandL2">
    <w:name w:val="NewStand_L2"/>
    <w:basedOn w:val="NewStandL1"/>
    <w:pPr>
      <w:numPr>
        <w:ilvl w:val="1"/>
      </w:numPr>
      <w:outlineLvl w:val="1"/>
    </w:pPr>
  </w:style>
  <w:style w:type="paragraph" w:customStyle="1" w:styleId="NewStandL3">
    <w:name w:val="NewStand_L3"/>
    <w:basedOn w:val="NewStandL2"/>
    <w:next w:val="BodyText"/>
    <w:pPr>
      <w:numPr>
        <w:ilvl w:val="2"/>
      </w:numPr>
      <w:outlineLvl w:val="2"/>
    </w:pPr>
  </w:style>
  <w:style w:type="paragraph" w:customStyle="1" w:styleId="NewStandL4">
    <w:name w:val="NewStand_L4"/>
    <w:basedOn w:val="NewStandL3"/>
    <w:next w:val="BodyText"/>
    <w:pPr>
      <w:numPr>
        <w:ilvl w:val="3"/>
      </w:numPr>
      <w:outlineLvl w:val="3"/>
    </w:pPr>
  </w:style>
  <w:style w:type="paragraph" w:customStyle="1" w:styleId="NewStandL5">
    <w:name w:val="NewStand_L5"/>
    <w:basedOn w:val="NewStandL4"/>
    <w:pPr>
      <w:numPr>
        <w:ilvl w:val="4"/>
      </w:numPr>
      <w:outlineLvl w:val="4"/>
    </w:pPr>
  </w:style>
  <w:style w:type="paragraph" w:customStyle="1" w:styleId="NewStandL6">
    <w:name w:val="NewStand_L6"/>
    <w:basedOn w:val="NewStandL5"/>
    <w:next w:val="BodyText"/>
    <w:pPr>
      <w:numPr>
        <w:ilvl w:val="5"/>
      </w:numPr>
      <w:outlineLvl w:val="5"/>
    </w:pPr>
  </w:style>
  <w:style w:type="paragraph" w:customStyle="1" w:styleId="NewStandL7">
    <w:name w:val="NewStand_L7"/>
    <w:basedOn w:val="NewStandL6"/>
    <w:next w:val="BodyText"/>
    <w:pPr>
      <w:numPr>
        <w:ilvl w:val="6"/>
      </w:numPr>
      <w:outlineLvl w:val="6"/>
    </w:pPr>
  </w:style>
  <w:style w:type="paragraph" w:customStyle="1" w:styleId="NewStandL8">
    <w:name w:val="NewStand_L8"/>
    <w:basedOn w:val="NewStandL7"/>
    <w:next w:val="BodyText"/>
    <w:pPr>
      <w:numPr>
        <w:ilvl w:val="7"/>
      </w:numPr>
      <w:outlineLvl w:val="7"/>
    </w:pPr>
  </w:style>
  <w:style w:type="paragraph" w:customStyle="1" w:styleId="NewStandL9">
    <w:name w:val="NewStand_L9"/>
    <w:basedOn w:val="NewStandL8"/>
    <w:next w:val="BodyText"/>
    <w:pPr>
      <w:numPr>
        <w:ilvl w:val="8"/>
      </w:numPr>
      <w:outlineLvl w:val="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page">
    <w:name w:val="Signature page"/>
    <w:aliases w:val="sp"/>
    <w:basedOn w:val="Normal"/>
    <w:next w:val="Normal"/>
    <w:pPr>
      <w:ind w:left="4320"/>
    </w:pPr>
  </w:style>
  <w:style w:type="paragraph" w:customStyle="1" w:styleId="Byline">
    <w:name w:val="By line"/>
    <w:aliases w:val="bl"/>
    <w:basedOn w:val="Normal"/>
    <w:pPr>
      <w:spacing w:after="240"/>
      <w:ind w:left="4680" w:hanging="360"/>
    </w:pPr>
  </w:style>
  <w:style w:type="paragraph" w:customStyle="1" w:styleId="ia">
    <w:name w:val="ia"/>
    <w:basedOn w:val="Normal"/>
    <w:pPr>
      <w:spacing w:after="240"/>
      <w:ind w:left="720"/>
    </w:pPr>
    <w:rPr>
      <w:rFonts w:ascii="Univers (W1)" w:hAnsi="Univers (W1)"/>
      <w:color w:val="000000"/>
      <w:sz w:val="20"/>
      <w:szCs w:val="20"/>
    </w:rPr>
  </w:style>
  <w:style w:type="paragraph" w:customStyle="1" w:styleId="BodyMain">
    <w:name w:val="Body Main"/>
    <w:aliases w:val="BM"/>
    <w:basedOn w:val="Normal"/>
    <w:pPr>
      <w:spacing w:before="240"/>
      <w:ind w:firstLine="1440"/>
      <w:jc w:val="both"/>
    </w:pPr>
    <w:rPr>
      <w:sz w:val="20"/>
      <w:szCs w:val="20"/>
    </w:rPr>
  </w:style>
  <w:style w:type="paragraph" w:customStyle="1" w:styleId="Lefthanging">
    <w:name w:val="Left hanging"/>
    <w:aliases w:val="lh"/>
    <w:basedOn w:val="BodyMain"/>
    <w:pPr>
      <w:ind w:left="720" w:hanging="720"/>
    </w:pPr>
    <w:rPr>
      <w:sz w:val="24"/>
    </w:rPr>
  </w:style>
  <w:style w:type="paragraph" w:styleId="BodyTextIndent">
    <w:name w:val="Body Text Indent"/>
    <w:basedOn w:val="Normal"/>
    <w:link w:val="BodyTextIndentChar"/>
    <w:pPr>
      <w:ind w:hanging="18"/>
    </w:pPr>
    <w:rPr>
      <w:sz w:val="22"/>
      <w:szCs w:val="20"/>
    </w:rPr>
  </w:style>
  <w:style w:type="paragraph" w:styleId="BodyTextIndent3">
    <w:name w:val="Body Text Indent 3"/>
    <w:basedOn w:val="Normal"/>
    <w:pPr>
      <w:ind w:left="720"/>
      <w:jc w:val="both"/>
    </w:pPr>
    <w:rPr>
      <w:sz w:val="23"/>
      <w:szCs w:val="20"/>
    </w:rPr>
  </w:style>
  <w:style w:type="paragraph" w:customStyle="1" w:styleId="Privacy">
    <w:name w:val="Privacy"/>
    <w:basedOn w:val="Normal"/>
    <w:next w:val="Normal"/>
    <w:pPr>
      <w:widowControl w:val="0"/>
      <w:spacing w:after="240"/>
      <w:jc w:val="center"/>
    </w:pPr>
    <w:rPr>
      <w:b/>
      <w:caps/>
      <w:sz w:val="22"/>
    </w:rPr>
  </w:style>
  <w:style w:type="paragraph" w:customStyle="1" w:styleId="BodyTextJustified">
    <w:name w:val="Body Text Justified"/>
    <w:basedOn w:val="Normal"/>
    <w:pPr>
      <w:widowControl w:val="0"/>
      <w:spacing w:after="240"/>
      <w:jc w:val="both"/>
    </w:pPr>
    <w:rPr>
      <w:sz w:val="22"/>
      <w:szCs w:val="20"/>
    </w:rPr>
  </w:style>
  <w:style w:type="character" w:customStyle="1" w:styleId="Heading6Char">
    <w:name w:val="Heading 6 Char"/>
    <w:aliases w:val="H6 Char"/>
    <w:basedOn w:val="DefaultParagraphFont"/>
    <w:link w:val="Heading6"/>
  </w:style>
  <w:style w:type="character" w:customStyle="1" w:styleId="FooterChar">
    <w:name w:val="Footer Char"/>
    <w:basedOn w:val="DefaultParagraphFont"/>
    <w:link w:val="Footer"/>
    <w:uiPriority w:val="99"/>
    <w:rPr>
      <w:sz w:val="24"/>
    </w:rPr>
  </w:style>
  <w:style w:type="character" w:customStyle="1" w:styleId="FootnoteTextChar">
    <w:name w:val="Footnote Text Char"/>
    <w:basedOn w:val="DefaultParagraphFont"/>
    <w:link w:val="FootnoteText"/>
  </w:style>
  <w:style w:type="character" w:customStyle="1" w:styleId="SignatureChar">
    <w:name w:val="Signature Char"/>
    <w:basedOn w:val="DefaultParagraphFont"/>
    <w:link w:val="Signature"/>
    <w:rPr>
      <w:sz w:val="24"/>
    </w:rPr>
  </w:style>
  <w:style w:type="paragraph" w:styleId="BodyTextFirstIndent2">
    <w:name w:val="Body Text First Indent 2"/>
    <w:basedOn w:val="BodyTextIndent"/>
    <w:link w:val="BodyTextFirstIndent2Char"/>
    <w:uiPriority w:val="99"/>
    <w:semiHidden/>
    <w:unhideWhenUsed/>
    <w:pPr>
      <w:ind w:left="360" w:firstLine="360"/>
    </w:pPr>
    <w:rPr>
      <w:sz w:val="24"/>
      <w:szCs w:val="24"/>
    </w:rPr>
  </w:style>
  <w:style w:type="character" w:customStyle="1" w:styleId="BodyTextIndentChar">
    <w:name w:val="Body Text Indent Char"/>
    <w:basedOn w:val="DefaultParagraphFont"/>
    <w:link w:val="BodyTextIndent"/>
    <w:rPr>
      <w:sz w:val="22"/>
    </w:rPr>
  </w:style>
  <w:style w:type="character" w:customStyle="1" w:styleId="BodyTextFirstIndent2Char">
    <w:name w:val="Body Text First Indent 2 Char"/>
    <w:basedOn w:val="BodyTextIndentChar"/>
    <w:link w:val="BodyTextFirstIndent2"/>
    <w:rPr>
      <w:sz w:val="22"/>
    </w:rPr>
  </w:style>
  <w:style w:type="paragraph" w:styleId="Subtitle">
    <w:name w:val="Subtitle"/>
    <w:basedOn w:val="Normal"/>
    <w:next w:val="BodyTextFirstIndent"/>
    <w:link w:val="SubtitleChar"/>
    <w:qFormat/>
    <w:pPr>
      <w:spacing w:after="240"/>
      <w:jc w:val="center"/>
    </w:pPr>
  </w:style>
  <w:style w:type="character" w:customStyle="1" w:styleId="SubtitleChar">
    <w:name w:val="Subtitle Char"/>
    <w:basedOn w:val="DefaultParagraphFont"/>
    <w:link w:val="Subtitle"/>
    <w:rPr>
      <w:sz w:val="24"/>
      <w:szCs w:val="24"/>
    </w:rPr>
  </w:style>
  <w:style w:type="character" w:customStyle="1" w:styleId="HeaderChar">
    <w:name w:val="Header Char"/>
    <w:basedOn w:val="DefaultParagraphFont"/>
    <w:link w:val="Header"/>
    <w:rPr>
      <w:sz w:val="24"/>
      <w:szCs w:val="24"/>
    </w:rPr>
  </w:style>
  <w:style w:type="character" w:customStyle="1" w:styleId="TitleChar">
    <w:name w:val="Title Char"/>
    <w:aliases w:val="t1 Char"/>
    <w:basedOn w:val="DefaultParagraphFont"/>
    <w:link w:val="Title"/>
    <w:rPr>
      <w:b/>
      <w:sz w:val="24"/>
      <w:szCs w:val="24"/>
    </w:rPr>
  </w:style>
  <w:style w:type="paragraph" w:customStyle="1" w:styleId="ReLine">
    <w:name w:val="Re Line"/>
    <w:basedOn w:val="Normal"/>
    <w:qFormat/>
    <w:pPr>
      <w:spacing w:after="240"/>
      <w:ind w:left="1440" w:hanging="720"/>
    </w:pPr>
  </w:style>
  <w:style w:type="paragraph" w:customStyle="1" w:styleId="HangingIndent1">
    <w:name w:val="Hanging Indent_1"/>
    <w:basedOn w:val="Normal"/>
    <w:qFormat/>
    <w:pPr>
      <w:spacing w:after="240"/>
      <w:ind w:left="2160" w:hanging="720"/>
      <w:jc w:val="both"/>
    </w:pPr>
  </w:style>
  <w:style w:type="paragraph" w:customStyle="1" w:styleId="FlushRight">
    <w:name w:val="Flush Right"/>
    <w:basedOn w:val="Normal"/>
    <w:qFormat/>
    <w:pPr>
      <w:spacing w:after="240"/>
      <w:jc w:val="right"/>
    </w:pPr>
  </w:style>
  <w:style w:type="paragraph" w:customStyle="1" w:styleId="HangingIndent2">
    <w:name w:val="Hanging Indent_2"/>
    <w:basedOn w:val="Normal"/>
    <w:qFormat/>
    <w:pPr>
      <w:spacing w:after="240"/>
      <w:ind w:left="720" w:hanging="720"/>
      <w:jc w:val="both"/>
    </w:pPr>
  </w:style>
  <w:style w:type="paragraph" w:customStyle="1" w:styleId="Signatureblock">
    <w:name w:val="Signature block"/>
    <w:basedOn w:val="Normal"/>
    <w:pPr>
      <w:tabs>
        <w:tab w:val="left" w:pos="4680"/>
        <w:tab w:val="right" w:pos="9360"/>
      </w:tabs>
      <w:spacing w:after="240"/>
      <w:ind w:left="4320"/>
    </w:pPr>
  </w:style>
  <w:style w:type="character" w:customStyle="1" w:styleId="BodyTextChar">
    <w:name w:val="Body Text Char"/>
    <w:basedOn w:val="DefaultParagraphFont"/>
    <w:link w:val="BodyText"/>
    <w:rPr>
      <w:sz w:val="24"/>
      <w:szCs w:val="24"/>
    </w:rPr>
  </w:style>
  <w:style w:type="character" w:customStyle="1" w:styleId="BodyTextIndent2Char">
    <w:name w:val="Body Text Indent 2 Char"/>
    <w:aliases w:val="i2 Char"/>
    <w:basedOn w:val="DefaultParagraphFont"/>
    <w:link w:val="BodyTextIndent2"/>
    <w:rPr>
      <w:sz w:val="24"/>
      <w:szCs w:val="24"/>
    </w:rPr>
  </w:style>
  <w:style w:type="character" w:customStyle="1" w:styleId="BodyTextFirstIndentChar">
    <w:name w:val="Body Text First Indent Char"/>
    <w:aliases w:val="f1 Char"/>
    <w:basedOn w:val="BodyTextChar"/>
    <w:link w:val="BodyTextFirstIndent"/>
    <w:rPr>
      <w:sz w:val="24"/>
      <w:szCs w:val="24"/>
    </w:rPr>
  </w:style>
  <w:style w:type="paragraph" w:customStyle="1" w:styleId="EXHIBITHEADING">
    <w:name w:val="EXHIBIT HEADING"/>
    <w:basedOn w:val="BodyText"/>
    <w:pPr>
      <w:spacing w:after="360"/>
      <w:ind w:firstLine="720"/>
      <w:jc w:val="right"/>
    </w:pPr>
    <w:rPr>
      <w:szCs w:val="20"/>
    </w:rPr>
  </w:style>
  <w:style w:type="paragraph" w:styleId="TOC6">
    <w:name w:val="toc 6"/>
    <w:basedOn w:val="Normal"/>
    <w:next w:val="Normal"/>
    <w:autoRedefine/>
    <w:uiPriority w:val="39"/>
    <w:semiHidden/>
    <w:unhideWhenUsed/>
    <w:pPr>
      <w:spacing w:after="100"/>
      <w:ind w:left="1200"/>
    </w:pPr>
  </w:style>
  <w:style w:type="paragraph" w:customStyle="1" w:styleId="ArticleL1">
    <w:name w:val="Article_L1"/>
    <w:basedOn w:val="Normal"/>
    <w:next w:val="BodyText"/>
    <w:pPr>
      <w:numPr>
        <w:numId w:val="19"/>
      </w:numPr>
      <w:spacing w:after="240"/>
      <w:jc w:val="center"/>
      <w:outlineLvl w:val="0"/>
    </w:pPr>
    <w:rPr>
      <w:caps/>
      <w:szCs w:val="20"/>
    </w:rPr>
  </w:style>
  <w:style w:type="paragraph" w:customStyle="1" w:styleId="ArticleL2">
    <w:name w:val="Article_L2"/>
    <w:basedOn w:val="ArticleL1"/>
    <w:next w:val="BodyText"/>
    <w:pPr>
      <w:numPr>
        <w:ilvl w:val="1"/>
      </w:numPr>
      <w:jc w:val="both"/>
      <w:outlineLvl w:val="1"/>
    </w:pPr>
    <w:rPr>
      <w:caps w:val="0"/>
    </w:rPr>
  </w:style>
  <w:style w:type="paragraph" w:customStyle="1" w:styleId="ArticleL3">
    <w:name w:val="Article_L3"/>
    <w:basedOn w:val="ArticleL2"/>
    <w:next w:val="BodyText"/>
    <w:link w:val="ArticleL3Char"/>
    <w:pPr>
      <w:numPr>
        <w:ilvl w:val="2"/>
      </w:numPr>
      <w:outlineLvl w:val="2"/>
    </w:pPr>
  </w:style>
  <w:style w:type="character" w:customStyle="1" w:styleId="ArticleL3Char">
    <w:name w:val="Article_L3 Char"/>
    <w:basedOn w:val="DefaultParagraphFont"/>
    <w:link w:val="ArticleL3"/>
    <w:rPr>
      <w:sz w:val="24"/>
    </w:rPr>
  </w:style>
  <w:style w:type="paragraph" w:customStyle="1" w:styleId="ArticleL4">
    <w:name w:val="Article_L4"/>
    <w:basedOn w:val="ArticleL3"/>
    <w:next w:val="BodyText"/>
    <w:pPr>
      <w:numPr>
        <w:ilvl w:val="3"/>
      </w:numPr>
      <w:tabs>
        <w:tab w:val="num" w:pos="720"/>
        <w:tab w:val="clear" w:pos="2160"/>
      </w:tabs>
      <w:ind w:hanging="720"/>
      <w:outlineLvl w:val="3"/>
    </w:pPr>
  </w:style>
  <w:style w:type="paragraph" w:customStyle="1" w:styleId="ArticleL5">
    <w:name w:val="Article_L5"/>
    <w:basedOn w:val="ArticleL4"/>
    <w:next w:val="BodyText"/>
    <w:pPr>
      <w:numPr>
        <w:ilvl w:val="4"/>
      </w:numPr>
      <w:tabs>
        <w:tab w:val="num" w:pos="720"/>
        <w:tab w:val="clear" w:pos="2160"/>
      </w:tabs>
      <w:ind w:hanging="720"/>
      <w:outlineLvl w:val="4"/>
    </w:pPr>
  </w:style>
  <w:style w:type="paragraph" w:customStyle="1" w:styleId="ArticleL6">
    <w:name w:val="Article_L6"/>
    <w:basedOn w:val="ArticleL5"/>
    <w:next w:val="BodyText"/>
    <w:pPr>
      <w:numPr>
        <w:ilvl w:val="5"/>
      </w:numPr>
      <w:tabs>
        <w:tab w:val="num" w:pos="720"/>
        <w:tab w:val="clear" w:pos="4320"/>
      </w:tabs>
      <w:ind w:left="720" w:hanging="720"/>
      <w:jc w:val="left"/>
      <w:outlineLvl w:val="5"/>
    </w:pPr>
  </w:style>
  <w:style w:type="paragraph" w:customStyle="1" w:styleId="ArticleL7">
    <w:name w:val="Article_L7"/>
    <w:basedOn w:val="ArticleL6"/>
    <w:next w:val="BodyText"/>
    <w:pPr>
      <w:numPr>
        <w:ilvl w:val="6"/>
      </w:numPr>
      <w:tabs>
        <w:tab w:val="num" w:pos="720"/>
        <w:tab w:val="clear" w:pos="5040"/>
      </w:tabs>
      <w:ind w:left="720" w:hanging="720"/>
      <w:outlineLvl w:val="6"/>
    </w:pPr>
  </w:style>
  <w:style w:type="paragraph" w:customStyle="1" w:styleId="ArticleL8">
    <w:name w:val="Article_L8"/>
    <w:basedOn w:val="ArticleL7"/>
    <w:next w:val="BodyText"/>
    <w:pPr>
      <w:numPr>
        <w:ilvl w:val="7"/>
      </w:numPr>
      <w:tabs>
        <w:tab w:val="num" w:pos="720"/>
        <w:tab w:val="clear" w:pos="5760"/>
      </w:tabs>
      <w:ind w:left="720" w:hanging="720"/>
      <w:outlineLvl w:val="7"/>
    </w:pPr>
  </w:style>
  <w:style w:type="paragraph" w:customStyle="1" w:styleId="ArticleL9">
    <w:name w:val="Article_L9"/>
    <w:basedOn w:val="ArticleL8"/>
    <w:next w:val="BodyText"/>
    <w:pPr>
      <w:numPr>
        <w:ilvl w:val="8"/>
      </w:numPr>
      <w:tabs>
        <w:tab w:val="num" w:pos="720"/>
        <w:tab w:val="clear" w:pos="6480"/>
      </w:tabs>
      <w:ind w:left="720" w:hanging="720"/>
      <w:outlineLvl w:val="8"/>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SigBlock">
    <w:name w:val="SigBlock"/>
    <w:aliases w:val="sb1"/>
    <w:basedOn w:val="Normal"/>
    <w:pPr>
      <w:spacing w:after="240"/>
      <w:ind w:left="4320"/>
    </w:pPr>
    <w:rPr>
      <w:rFonts w:eastAsiaTheme="minorHAnsi"/>
    </w:rPr>
  </w:style>
  <w:style w:type="paragraph" w:customStyle="1" w:styleId="StandardL1">
    <w:name w:val="Standard_L1"/>
    <w:basedOn w:val="Normal"/>
    <w:next w:val="BodyText"/>
    <w:pPr>
      <w:keepNext/>
      <w:numPr>
        <w:numId w:val="20"/>
      </w:numPr>
      <w:spacing w:after="240"/>
      <w:outlineLvl w:val="0"/>
    </w:pPr>
    <w:rPr>
      <w:szCs w:val="20"/>
    </w:rPr>
  </w:style>
  <w:style w:type="paragraph" w:customStyle="1" w:styleId="StandardL2">
    <w:name w:val="Standard_L2"/>
    <w:basedOn w:val="StandardL1"/>
    <w:next w:val="BodyText"/>
    <w:pPr>
      <w:keepNext w:val="0"/>
      <w:numPr>
        <w:ilvl w:val="1"/>
      </w:numPr>
      <w:outlineLvl w:val="1"/>
    </w:pPr>
  </w:style>
  <w:style w:type="paragraph" w:customStyle="1" w:styleId="StandardL3">
    <w:name w:val="Standard_L3"/>
    <w:basedOn w:val="StandardL2"/>
    <w:next w:val="BodyText"/>
    <w:pPr>
      <w:numPr>
        <w:ilvl w:val="2"/>
      </w:numPr>
      <w:outlineLvl w:val="2"/>
    </w:pPr>
  </w:style>
  <w:style w:type="paragraph" w:customStyle="1" w:styleId="StandardL4">
    <w:name w:val="Standard_L4"/>
    <w:basedOn w:val="StandardL3"/>
    <w:next w:val="BodyText"/>
    <w:pPr>
      <w:numPr>
        <w:ilvl w:val="3"/>
      </w:numPr>
      <w:outlineLvl w:val="3"/>
    </w:pPr>
  </w:style>
  <w:style w:type="paragraph" w:customStyle="1" w:styleId="StandardL5">
    <w:name w:val="Standard_L5"/>
    <w:basedOn w:val="StandardL4"/>
    <w:next w:val="BodyText"/>
    <w:pPr>
      <w:numPr>
        <w:ilvl w:val="4"/>
      </w:numPr>
      <w:outlineLvl w:val="4"/>
    </w:pPr>
  </w:style>
  <w:style w:type="paragraph" w:customStyle="1" w:styleId="StandardL6">
    <w:name w:val="Standard_L6"/>
    <w:basedOn w:val="StandardL5"/>
    <w:next w:val="BodyText"/>
    <w:pPr>
      <w:numPr>
        <w:ilvl w:val="5"/>
      </w:numPr>
      <w:outlineLvl w:val="5"/>
    </w:pPr>
  </w:style>
  <w:style w:type="paragraph" w:customStyle="1" w:styleId="StandardL7">
    <w:name w:val="Standard_L7"/>
    <w:basedOn w:val="StandardL6"/>
    <w:next w:val="BodyText"/>
    <w:pPr>
      <w:numPr>
        <w:ilvl w:val="6"/>
      </w:numPr>
      <w:outlineLvl w:val="6"/>
    </w:pPr>
  </w:style>
  <w:style w:type="paragraph" w:customStyle="1" w:styleId="StandardL8">
    <w:name w:val="Standard_L8"/>
    <w:basedOn w:val="StandardL7"/>
    <w:next w:val="BodyText"/>
    <w:pPr>
      <w:numPr>
        <w:ilvl w:val="7"/>
      </w:numPr>
      <w:outlineLvl w:val="7"/>
    </w:pPr>
  </w:style>
  <w:style w:type="paragraph" w:customStyle="1" w:styleId="StandardL9">
    <w:name w:val="Standard_L9"/>
    <w:basedOn w:val="StandardL8"/>
    <w:next w:val="BodyText"/>
    <w:pPr>
      <w:numPr>
        <w:ilvl w:val="8"/>
      </w:numPr>
      <w:outlineLvl w:val="8"/>
    </w:pPr>
  </w:style>
  <w:style w:type="paragraph" w:customStyle="1" w:styleId="FooterReference">
    <w:name w:val="Footer Reference"/>
    <w:basedOn w:val="Footer"/>
    <w:link w:val="FooterReferenceChar"/>
    <w:uiPriority w:val="99"/>
    <w:semiHidden/>
    <w:rPr>
      <w:sz w:val="16"/>
      <w:szCs w:val="24"/>
    </w:rPr>
  </w:style>
  <w:style w:type="character" w:customStyle="1" w:styleId="FooterReferenceChar">
    <w:name w:val="Footer Reference Char"/>
    <w:basedOn w:val="TitleChar"/>
    <w:link w:val="FooterReference"/>
    <w:rPr>
      <w:b w:val="0"/>
      <w:sz w:val="16"/>
      <w:szCs w:val="24"/>
    </w:rPr>
  </w:style>
  <w:style w:type="paragraph" w:customStyle="1" w:styleId="Legal2L1">
    <w:name w:val="Legal2_L1"/>
    <w:basedOn w:val="Normal"/>
    <w:pPr>
      <w:keepNext/>
      <w:numPr>
        <w:numId w:val="22"/>
      </w:numPr>
      <w:spacing w:after="240"/>
      <w:jc w:val="center"/>
      <w:outlineLvl w:val="0"/>
    </w:pPr>
    <w:rPr>
      <w:szCs w:val="20"/>
    </w:rPr>
  </w:style>
  <w:style w:type="paragraph" w:customStyle="1" w:styleId="Legal2L2">
    <w:name w:val="Legal2_L2"/>
    <w:basedOn w:val="Legal2L1"/>
    <w:pPr>
      <w:keepNext w:val="0"/>
      <w:numPr>
        <w:ilvl w:val="1"/>
      </w:numPr>
      <w:jc w:val="both"/>
      <w:outlineLvl w:val="1"/>
    </w:pPr>
  </w:style>
  <w:style w:type="paragraph" w:customStyle="1" w:styleId="Legal2L3">
    <w:name w:val="Legal2_L3"/>
    <w:basedOn w:val="Legal2L2"/>
    <w:pPr>
      <w:numPr>
        <w:ilvl w:val="2"/>
      </w:numPr>
      <w:outlineLvl w:val="2"/>
    </w:pPr>
  </w:style>
  <w:style w:type="character" w:customStyle="1" w:styleId="Legal2L4Char">
    <w:name w:val="Legal2_L4 Char"/>
    <w:basedOn w:val="DefaultParagraphFont"/>
    <w:link w:val="Legal2L4"/>
    <w:locked/>
    <w:rPr>
      <w:sz w:val="24"/>
    </w:rPr>
  </w:style>
  <w:style w:type="paragraph" w:customStyle="1" w:styleId="Legal2L4">
    <w:name w:val="Legal2_L4"/>
    <w:basedOn w:val="Legal2L3"/>
    <w:link w:val="Legal2L4Char"/>
    <w:pPr>
      <w:numPr>
        <w:ilvl w:val="3"/>
      </w:numPr>
      <w:outlineLvl w:val="3"/>
    </w:pPr>
  </w:style>
  <w:style w:type="paragraph" w:customStyle="1" w:styleId="Legal2L5">
    <w:name w:val="Legal2_L5"/>
    <w:basedOn w:val="Legal2L4"/>
    <w:pPr>
      <w:numPr>
        <w:ilvl w:val="4"/>
      </w:numPr>
      <w:tabs>
        <w:tab w:val="num" w:pos="360"/>
        <w:tab w:val="num" w:pos="720"/>
        <w:tab w:val="clear" w:pos="2160"/>
      </w:tabs>
      <w:ind w:hanging="720"/>
      <w:outlineLvl w:val="4"/>
    </w:pPr>
  </w:style>
  <w:style w:type="paragraph" w:customStyle="1" w:styleId="Legal2L6">
    <w:name w:val="Legal2_L6"/>
    <w:basedOn w:val="Legal2L5"/>
    <w:pPr>
      <w:numPr>
        <w:ilvl w:val="5"/>
      </w:numPr>
      <w:tabs>
        <w:tab w:val="num" w:pos="360"/>
        <w:tab w:val="num" w:pos="720"/>
        <w:tab w:val="clear" w:pos="2880"/>
      </w:tabs>
      <w:ind w:hanging="720"/>
      <w:outlineLvl w:val="5"/>
    </w:pPr>
  </w:style>
  <w:style w:type="paragraph" w:customStyle="1" w:styleId="Legal2L7">
    <w:name w:val="Legal2_L7"/>
    <w:basedOn w:val="Legal2L6"/>
    <w:pPr>
      <w:numPr>
        <w:ilvl w:val="6"/>
      </w:numPr>
      <w:tabs>
        <w:tab w:val="num" w:pos="360"/>
        <w:tab w:val="num" w:pos="720"/>
        <w:tab w:val="clear" w:pos="2160"/>
      </w:tabs>
      <w:ind w:hanging="720"/>
      <w:outlineLvl w:val="6"/>
    </w:pPr>
  </w:style>
  <w:style w:type="paragraph" w:customStyle="1" w:styleId="Legal2L8">
    <w:name w:val="Legal2_L8"/>
    <w:basedOn w:val="Legal2L7"/>
    <w:next w:val="BodyText"/>
    <w:pPr>
      <w:numPr>
        <w:ilvl w:val="7"/>
      </w:numPr>
      <w:tabs>
        <w:tab w:val="num" w:pos="360"/>
        <w:tab w:val="num" w:pos="720"/>
        <w:tab w:val="clear" w:pos="5760"/>
      </w:tabs>
      <w:ind w:left="720" w:hanging="720"/>
      <w:jc w:val="left"/>
      <w:outlineLvl w:val="7"/>
    </w:pPr>
  </w:style>
  <w:style w:type="paragraph" w:customStyle="1" w:styleId="Legal2L9">
    <w:name w:val="Legal2_L9"/>
    <w:basedOn w:val="Legal2L8"/>
    <w:next w:val="BodyText"/>
    <w:pPr>
      <w:numPr>
        <w:ilvl w:val="8"/>
      </w:numPr>
      <w:tabs>
        <w:tab w:val="num" w:pos="360"/>
        <w:tab w:val="num" w:pos="720"/>
        <w:tab w:val="clear" w:pos="6480"/>
      </w:tabs>
      <w:ind w:left="720" w:hanging="720"/>
      <w:outlineLvl w:val="8"/>
    </w:pPr>
  </w:style>
  <w:style w:type="paragraph" w:customStyle="1" w:styleId="Legal2Para2">
    <w:name w:val="Legal2 Para 2"/>
    <w:basedOn w:val="Legal2L2"/>
    <w:next w:val="Legal2L2"/>
    <w:pPr>
      <w:numPr>
        <w:ilvl w:val="0"/>
        <w:numId w:val="0"/>
      </w:numPr>
      <w:outlineLvl w:val="9"/>
    </w:pPr>
  </w:style>
  <w:style w:type="paragraph" w:styleId="EnvelopeReturn">
    <w:name w:val="envelope return"/>
    <w:basedOn w:val="Normal"/>
    <w:rPr>
      <w:rFonts w:cs="Arial"/>
      <w:sz w:val="20"/>
      <w:szCs w:val="20"/>
    </w:rPr>
  </w:style>
  <w:style w:type="paragraph" w:customStyle="1" w:styleId="MacPacTrailer">
    <w:name w:val="MacPac Trailer"/>
    <w:pPr>
      <w:widowControl w:val="0"/>
      <w:spacing w:line="200" w:lineRule="exact"/>
    </w:pPr>
    <w:rPr>
      <w:sz w:val="12"/>
      <w:szCs w:val="22"/>
    </w:rPr>
  </w:style>
  <w:style w:type="character" w:styleId="PlaceholderText">
    <w:name w:val="Placeholder Text"/>
    <w:basedOn w:val="DefaultParagraphFont"/>
    <w:uiPriority w:val="99"/>
    <w:semiHidden/>
    <w:rPr>
      <w:color w:val="808080"/>
    </w:rPr>
  </w:style>
  <w:style w:type="paragraph" w:customStyle="1" w:styleId="DocID">
    <w:name w:val="DocID"/>
    <w:basedOn w:val="Footer"/>
    <w:next w:val="Footer"/>
    <w:link w:val="DocIDChar"/>
    <w:pPr>
      <w:tabs>
        <w:tab w:val="clear" w:pos="4680"/>
        <w:tab w:val="clear" w:pos="9360"/>
      </w:tabs>
    </w:pPr>
    <w:rPr>
      <w:rFonts w:ascii="Arial" w:hAnsi="Arial" w:cs="Arial"/>
      <w:sz w:val="16"/>
      <w:lang w:eastAsia="zh-CN"/>
    </w:rPr>
  </w:style>
  <w:style w:type="character" w:customStyle="1" w:styleId="DocIDChar">
    <w:name w:val="DocID Char"/>
    <w:basedOn w:val="TitleChar"/>
    <w:link w:val="DocID"/>
    <w:rPr>
      <w:rFonts w:ascii="Arial" w:hAnsi="Arial" w:cs="Arial"/>
      <w:b w:val="0"/>
      <w:sz w:val="16"/>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eader" Target="header5.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6.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header" Target="header8.xm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header" Target="header10.xml" /><Relationship Id="rId32" Type="http://schemas.openxmlformats.org/officeDocument/2006/relationships/footer" Target="footer17.xml" /><Relationship Id="rId33" Type="http://schemas.openxmlformats.org/officeDocument/2006/relationships/header" Target="header11.xml" /><Relationship Id="rId34" Type="http://schemas.openxmlformats.org/officeDocument/2006/relationships/header" Target="header12.xml" /><Relationship Id="rId35" Type="http://schemas.openxmlformats.org/officeDocument/2006/relationships/footer" Target="footer18.xml" /><Relationship Id="rId36" Type="http://schemas.openxmlformats.org/officeDocument/2006/relationships/footer" Target="footer19.xml" /><Relationship Id="rId37" Type="http://schemas.openxmlformats.org/officeDocument/2006/relationships/header" Target="header13.xml" /><Relationship Id="rId38" Type="http://schemas.openxmlformats.org/officeDocument/2006/relationships/footer" Target="footer20.xml" /><Relationship Id="rId39" Type="http://schemas.openxmlformats.org/officeDocument/2006/relationships/footer" Target="footer21.xml" /><Relationship Id="rId4" Type="http://schemas.openxmlformats.org/officeDocument/2006/relationships/customXml" Target="../customXml/item1.xml" /><Relationship Id="rId40" Type="http://schemas.openxmlformats.org/officeDocument/2006/relationships/footer" Target="footer22.xml" /><Relationship Id="rId41" Type="http://schemas.openxmlformats.org/officeDocument/2006/relationships/header" Target="header14.xml" /><Relationship Id="rId42" Type="http://schemas.openxmlformats.org/officeDocument/2006/relationships/footer" Target="footer23.xml" /><Relationship Id="rId43" Type="http://schemas.openxmlformats.org/officeDocument/2006/relationships/footer" Target="footer24.xml" /><Relationship Id="rId44" Type="http://schemas.openxmlformats.org/officeDocument/2006/relationships/footer" Target="footer25.xml" /><Relationship Id="rId45" Type="http://schemas.openxmlformats.org/officeDocument/2006/relationships/footer" Target="footer26.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footer" Target="footer29.xm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30.xml" /><Relationship Id="rId51" Type="http://schemas.openxmlformats.org/officeDocument/2006/relationships/footer" Target="footer31.xml" /><Relationship Id="rId52" Type="http://schemas.openxmlformats.org/officeDocument/2006/relationships/header" Target="header16.xml" /><Relationship Id="rId53" Type="http://schemas.openxmlformats.org/officeDocument/2006/relationships/header" Target="header17.xml" /><Relationship Id="rId54" Type="http://schemas.openxmlformats.org/officeDocument/2006/relationships/footer" Target="footer32.xml" /><Relationship Id="rId55" Type="http://schemas.openxmlformats.org/officeDocument/2006/relationships/footer" Target="footer33.xml" /><Relationship Id="rId56" Type="http://schemas.openxmlformats.org/officeDocument/2006/relationships/header" Target="header18.xml" /><Relationship Id="rId57" Type="http://schemas.openxmlformats.org/officeDocument/2006/relationships/footer" Target="footer34.xml" /><Relationship Id="rId58" Type="http://schemas.openxmlformats.org/officeDocument/2006/relationships/footer" Target="footer35.xml" /><Relationship Id="rId59" Type="http://schemas.openxmlformats.org/officeDocument/2006/relationships/footer" Target="footer36.xml" /><Relationship Id="rId6" Type="http://schemas.openxmlformats.org/officeDocument/2006/relationships/footer" Target="footer1.xml" /><Relationship Id="rId60" Type="http://schemas.openxmlformats.org/officeDocument/2006/relationships/footer" Target="footer37.xml" /><Relationship Id="rId61" Type="http://schemas.openxmlformats.org/officeDocument/2006/relationships/footer" Target="footer38.xml" /><Relationship Id="rId62" Type="http://schemas.openxmlformats.org/officeDocument/2006/relationships/footer" Target="footer39.xml" /><Relationship Id="rId63" Type="http://schemas.openxmlformats.org/officeDocument/2006/relationships/header" Target="header19.xml" /><Relationship Id="rId64" Type="http://schemas.openxmlformats.org/officeDocument/2006/relationships/footer" Target="footer40.xml" /><Relationship Id="rId65" Type="http://schemas.openxmlformats.org/officeDocument/2006/relationships/header" Target="header20.xml" /><Relationship Id="rId66" Type="http://schemas.openxmlformats.org/officeDocument/2006/relationships/footer" Target="footer41.xml" /><Relationship Id="rId67" Type="http://schemas.openxmlformats.org/officeDocument/2006/relationships/header" Target="header21.xml" /><Relationship Id="rId68" Type="http://schemas.openxmlformats.org/officeDocument/2006/relationships/footer" Target="footer42.xml" /><Relationship Id="rId69" Type="http://schemas.openxmlformats.org/officeDocument/2006/relationships/footer" Target="footer43.xml" /><Relationship Id="rId7" Type="http://schemas.openxmlformats.org/officeDocument/2006/relationships/footer" Target="footer2.xml" /><Relationship Id="rId70" Type="http://schemas.openxmlformats.org/officeDocument/2006/relationships/footer" Target="footer44.xml" /><Relationship Id="rId71" Type="http://schemas.openxmlformats.org/officeDocument/2006/relationships/footer" Target="footer45.xml" /><Relationship Id="rId72" Type="http://schemas.openxmlformats.org/officeDocument/2006/relationships/header" Target="header22.xml" /><Relationship Id="rId73" Type="http://schemas.openxmlformats.org/officeDocument/2006/relationships/footer" Target="footer46.xml" /><Relationship Id="rId74" Type="http://schemas.openxmlformats.org/officeDocument/2006/relationships/footer" Target="footer47.xml" /><Relationship Id="rId75" Type="http://schemas.openxmlformats.org/officeDocument/2006/relationships/footer" Target="footer48.xml" /><Relationship Id="rId76" Type="http://schemas.openxmlformats.org/officeDocument/2006/relationships/footer" Target="footer49.xml" /><Relationship Id="rId77" Type="http://schemas.openxmlformats.org/officeDocument/2006/relationships/footer" Target="footer50.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header" Target="header1.xml" /><Relationship Id="rId80"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1 6 " ? > < q 1 : O f f i c e   x m l n s : q 1 = " h t t p : / / s c h e m a s . m a c r o v i e w . c o m . a u / o f f i c e " >  
     < q 1 : I n c l u d e S e n d e r F a x N u m b e r I n A d d r e s s B l o c k > t r u e < / q 1 : I n c l u d e S e n d e r F a x N u m b e r I n A d d r e s s B l o c k > 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    < q 1 : T y p e > M a i l i n g A d d r e s s < / q 1 : T y p e >  
     < / q 1 : A l t e r n a t e A d d r e s s >  
     < q 1 : B a r T e x t I t e m s / > 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E n a b l e D a t a b a s e O n F o r m a t D o c u m e n t R e f e r e n c e V i e w > t r u e < / q 1 : E n a b l e D a t a b a s e O n F o r m a t D o c u m e n t R e f e r e n c e V i e w >  
     < q 1 : E n a b l e M a t t e r O n F o r m a t D o c u m e n t R e f e r e n c e V i e w > t r u e < / q 1 : E n a b l e M a t t e r O n F o r m a t D o c u m e n t R e f e r e n c e V i e w >  
     < q 1 : D i s p l a y N a m e > C h i c a g o < / q 1 : D i s p l a y N a m e >  
     < q 1 : A g r e e m e n t C o v e r N a m e > C h i c a g o < / q 1 : A g r e e m e n t C o v e r N a m e > 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I n s e r t C o m p l i m e n t s S l i p L o g o O n C r e a t i o n > t r u e < / q 1 : I n s e r t C o m p l i m e n t s S l i p L o g o O n C r e a t i o n >  
     < q 1 : I s A s i a C u s t o m C o v e r s V i s i b l e > f a l s e < / q 1 : I s A s i a C u s t o m C o v e r s 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W o r d > M a y e r   B r o w n   L E T T E R < / q 1 : L o g o _ W o r d >  
     < q 1 : L o g o _ P o w e r P o i n t > M a y e r   B r o w n   L E T T E R < / q 1 : L o g o _ P o w e r P o i n t >  
     < q 1 : L o n g D a t e F o r m a t > M M M M   d ,   y y y y < / q 1 : L o n g D a t e F o r m a t >  
     < q 1 : N a m e > C h i c a g o   -   W a c k e r < / q 1 : N a m e >  
     < q 1 : P a p e r S i z e > L e t t e r < / q 1 : P a p e r S i z e >  
     < q 1 : P h o n e N u m b e r > + 1   3 1 2   7 8 2   0 6 0 0 < / q 1 : P h o n e N u m b e r >  
     < q 1 : P o w e r P o i n t D i s c l a i m e r > M a y e r   B r o w n   i s   a   g l o b a l   s e r v i c e s   p r o v i d e r   c o m p r i s i n g   a s s o c i a t e d   l e g a l   p r a c t i c e s   t h a t   a r e   s e p a r a t e   e n t i t i e s ,   i n c l u d i n g   M a y e r   B r o w n   L L P   ( I l l i n o i s ,   U S A ) ,   M a y e r   B r o w n   I n t e r n a t i o n a l   L L P   ( E n g l a n d ) ,   M a y e r   B r o w n   ( a   H o n g   K o n g   p a r t n e r s h i p )   a n d   T a u i l   & a m p ;   C h e q u e r   A d v o g a d o s   ( a   B r a z i l i a n   l a w   p a r t n e r s h i p )   ( c o l l e c t i v e l y   t h e    M a y e r   B r o w n   P r a c t i c e s  )   a n d   n o n - l e g a l   s e r v i c e   p r o v i d e r s ,   w h i c h   p r o v i d e   c o n s u l t a n c y   s e r v i c e s   ( t h e    M a y e r   B r o w n   C o n s u l t a n c i e s  ) .   T h e   M a y e r   B r o w n   P r a c t i c e s   a n d   M a y e r   B r o w n   C o n s u l t a n c i e s   a r e   e s t a b l i s h e d   i n   v a r i o u s   j u r i s d i c t i o n s   a n d   m a y   b e   a   l e g a l   p e r s o n   o r   a   p a r t n e r s h i p .   D e t a i l s   o f   t h e   i n d i v i d u a l   M a y e r   B r o w n   P r a c t i c e s   a n d   M a y e r   B r o w n   C o n s u l t a n c i e s   c a n   b e   f o u n d   i n   t h e   L e g a l   N o t i c e s   s e c t i o n   o f   o u r   w e b s i t e .    M a y e r   B r o w n    a n d   t h e   M a y e r   B r o w n   l o g o   a r e   t h e   t r a d e m a r k s   o f   M a y e r   B r o w n .   �   M a y e r   B r o w n .   A l l   r i g h t s   r e s e r v e d . < / q 1 : P o w e r P o i n t D i s c l a i m e r > 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    < q 1 : T y p e > M a i l i n g A d d r e s s < / q 1 : T y p e >  
     < / q 1 : P r i m a r y A d d r e s s >  
     < q 1 : P r i n t e r / >  
     < q 1 : P r i v a c y I t e m s / >  
     < q 1 : S a l u t a t i o n I t e m s >  
         < q 1 : s t r i n g > D r . < / q 1 : s t r i n g >  
         < q 1 : s t r i n g > M i s s < / q 1 : s t r i n g >  
         < q 1 : s t r i n g > M r . < / q 1 : s t r i n g >  
         < q 1 : s t r i n g > M r s . < / q 1 : s t r i n g >  
         < q 1 : s t r i n g > M s . < / q 1 : s t r i n g >  
         < q 1 : s t r i n g > P r o f . < / q 1 : s t r i n g >  
         < q 1 : s t r i n g > S i r / M a d a m < / q 1 : s t r i n g >  
     < / q 1 : S a l u t a t i o n I t e m s > 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A9F76-95A2-4005-8DB5-8E5DB1B6A71E}">
  <ds:schemaRefs>
    <ds:schemaRef ds:uri="http://schemas.macroview.com.au/office"/>
    <ds:schemaRef ds:uri="http://schemas.macroview.com.au/dialogsettings"/>
  </ds:schemaRefs>
</ds:datastoreItem>
</file>

<file path=customXml/itemProps2.xml><?xml version="1.0" encoding="utf-8"?>
<ds:datastoreItem xmlns:ds="http://schemas.openxmlformats.org/officeDocument/2006/customXml" ds:itemID="{6AB59DC7-AE49-4C2C-B7F4-B0ADE4F8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237</Pages>
  <Words>76405</Words>
  <Characters>395734</Characters>
  <Application>Microsoft Office Word</Application>
  <DocSecurity>0</DocSecurity>
  <Lines>3334</Lines>
  <Paragraphs>1597</Paragraphs>
  <ScaleCrop>false</ScaleCrop>
  <HeadingPairs>
    <vt:vector size="2" baseType="variant">
      <vt:variant>
        <vt:lpstr/>
      </vt:variant>
      <vt:variant>
        <vt:i4>1</vt:i4>
      </vt:variant>
    </vt:vector>
  </HeadingPairs>
  <TitlesOfParts>
    <vt:vector size="1" baseType="lpstr">
      <vt:lpstr/>
    </vt:vector>
  </TitlesOfParts>
  <Company/>
  <LinksUpToDate>false</LinksUpToDate>
  <CharactersWithSpaces>474221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